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4E615AB" w14:textId="77777777" w:rsidR="006D28DF" w:rsidRDefault="006D28DF">
      <w:pPr>
        <w:widowControl w:val="0"/>
        <w:spacing w:after="240"/>
        <w:contextualSpacing w:val="0"/>
        <w:rPr>
          <w:rFonts w:ascii="Arial" w:eastAsia="Arial" w:hAnsi="Arial" w:cs="Arial"/>
          <w:b/>
          <w:sz w:val="32"/>
          <w:szCs w:val="32"/>
        </w:rPr>
      </w:pPr>
      <w:r>
        <w:rPr>
          <w:noProof/>
        </w:rPr>
        <w:drawing>
          <wp:inline distT="0" distB="0" distL="0" distR="0" wp14:anchorId="52750DD6" wp14:editId="6FA0A973">
            <wp:extent cx="1628775" cy="495300"/>
            <wp:effectExtent l="0" t="0" r="9525" b="0"/>
            <wp:docPr id="2" name="Picture 2" descr="http://www.fairfactories.org/Areas/Xpanel/Content/img/308348c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irfactories.org/Areas/Xpanel/Content/img/308348cb-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8775" cy="495300"/>
                    </a:xfrm>
                    <a:prstGeom prst="rect">
                      <a:avLst/>
                    </a:prstGeom>
                    <a:noFill/>
                    <a:ln>
                      <a:noFill/>
                    </a:ln>
                  </pic:spPr>
                </pic:pic>
              </a:graphicData>
            </a:graphic>
          </wp:inline>
        </w:drawing>
      </w:r>
    </w:p>
    <w:p w14:paraId="29DA15B8" w14:textId="77777777" w:rsidR="004A395C" w:rsidRPr="00B4447D" w:rsidRDefault="00FA67E1" w:rsidP="006D28DF">
      <w:pPr>
        <w:widowControl w:val="0"/>
        <w:spacing w:after="240"/>
        <w:contextualSpacing w:val="0"/>
        <w:jc w:val="center"/>
        <w:rPr>
          <w:rFonts w:ascii="Arial" w:eastAsia="Arial" w:hAnsi="Arial" w:cs="Arial"/>
          <w:b/>
          <w:sz w:val="28"/>
          <w:szCs w:val="28"/>
        </w:rPr>
      </w:pPr>
      <w:r w:rsidRPr="005065F0">
        <w:rPr>
          <w:rFonts w:ascii="Arial" w:eastAsia="Arial" w:hAnsi="Arial" w:cs="Arial"/>
          <w:b/>
          <w:sz w:val="32"/>
          <w:szCs w:val="32"/>
        </w:rPr>
        <w:br/>
      </w:r>
      <w:r w:rsidR="004A395C" w:rsidRPr="00B4447D">
        <w:rPr>
          <w:rFonts w:ascii="Arial" w:eastAsia="Arial" w:hAnsi="Arial" w:cs="Arial"/>
          <w:b/>
          <w:sz w:val="28"/>
          <w:szCs w:val="28"/>
        </w:rPr>
        <w:t>Fair Factories Clearinghouse</w:t>
      </w:r>
    </w:p>
    <w:p w14:paraId="2E7FEA18" w14:textId="77777777" w:rsidR="00E30DFF" w:rsidRPr="00B4447D" w:rsidRDefault="00FA67E1" w:rsidP="006D28DF">
      <w:pPr>
        <w:widowControl w:val="0"/>
        <w:spacing w:after="240"/>
        <w:contextualSpacing w:val="0"/>
        <w:jc w:val="center"/>
        <w:rPr>
          <w:sz w:val="28"/>
          <w:szCs w:val="28"/>
        </w:rPr>
      </w:pPr>
      <w:r w:rsidRPr="00B4447D">
        <w:rPr>
          <w:rFonts w:ascii="Arial" w:eastAsia="Arial" w:hAnsi="Arial" w:cs="Arial"/>
          <w:b/>
          <w:sz w:val="28"/>
          <w:szCs w:val="28"/>
        </w:rPr>
        <w:t>Record Retention and Document Destruction Policy</w:t>
      </w:r>
    </w:p>
    <w:p w14:paraId="7C4461AC" w14:textId="77777777" w:rsidR="00E30DFF" w:rsidRPr="00B4447D" w:rsidRDefault="00E30DFF" w:rsidP="004A395C">
      <w:pPr>
        <w:widowControl w:val="0"/>
        <w:spacing w:after="240"/>
        <w:contextualSpacing w:val="0"/>
        <w:rPr>
          <w:sz w:val="28"/>
          <w:szCs w:val="28"/>
        </w:rPr>
      </w:pPr>
    </w:p>
    <w:p w14:paraId="66640436" w14:textId="762BAAF0" w:rsidR="00E30DFF" w:rsidRPr="00B4447D" w:rsidRDefault="004A395C">
      <w:pPr>
        <w:widowControl w:val="0"/>
        <w:tabs>
          <w:tab w:val="center" w:pos="4680"/>
        </w:tabs>
        <w:spacing w:after="240"/>
        <w:contextualSpacing w:val="0"/>
      </w:pPr>
      <w:r>
        <w:rPr>
          <w:rFonts w:ascii="Arial" w:eastAsia="Arial" w:hAnsi="Arial" w:cs="Arial"/>
          <w:sz w:val="20"/>
          <w:szCs w:val="20"/>
        </w:rPr>
        <w:t>Fair Factories Clearinghouse</w:t>
      </w:r>
      <w:r w:rsidR="005065F0">
        <w:rPr>
          <w:rFonts w:ascii="Arial" w:eastAsia="Arial" w:hAnsi="Arial" w:cs="Arial"/>
          <w:sz w:val="20"/>
          <w:szCs w:val="20"/>
        </w:rPr>
        <w:t xml:space="preserve"> (FFC)</w:t>
      </w:r>
      <w:r w:rsidR="00FA67E1">
        <w:rPr>
          <w:rFonts w:ascii="Arial" w:eastAsia="Arial" w:hAnsi="Arial" w:cs="Arial"/>
          <w:sz w:val="20"/>
          <w:szCs w:val="20"/>
        </w:rPr>
        <w:t xml:space="preserve">, a </w:t>
      </w:r>
      <w:r w:rsidR="008F7219">
        <w:rPr>
          <w:rFonts w:ascii="Arial" w:eastAsia="Arial" w:hAnsi="Arial" w:cs="Arial"/>
          <w:sz w:val="20"/>
          <w:szCs w:val="20"/>
        </w:rPr>
        <w:t>50</w:t>
      </w:r>
      <w:r w:rsidR="005E5072">
        <w:rPr>
          <w:rFonts w:ascii="Arial" w:eastAsia="Arial" w:hAnsi="Arial" w:cs="Arial"/>
          <w:sz w:val="20"/>
          <w:szCs w:val="20"/>
        </w:rPr>
        <w:t>1</w:t>
      </w:r>
      <w:r w:rsidR="00815BAE">
        <w:rPr>
          <w:rFonts w:ascii="Arial" w:eastAsia="Arial" w:hAnsi="Arial" w:cs="Arial"/>
          <w:sz w:val="20"/>
          <w:szCs w:val="20"/>
        </w:rPr>
        <w:t>(c</w:t>
      </w:r>
      <w:proofErr w:type="gramStart"/>
      <w:r w:rsidR="00815BAE">
        <w:rPr>
          <w:rFonts w:ascii="Arial" w:eastAsia="Arial" w:hAnsi="Arial" w:cs="Arial"/>
          <w:sz w:val="20"/>
          <w:szCs w:val="20"/>
        </w:rPr>
        <w:t>)(</w:t>
      </w:r>
      <w:proofErr w:type="gramEnd"/>
      <w:r w:rsidR="00815BAE">
        <w:rPr>
          <w:rFonts w:ascii="Arial" w:eastAsia="Arial" w:hAnsi="Arial" w:cs="Arial"/>
          <w:sz w:val="20"/>
          <w:szCs w:val="20"/>
        </w:rPr>
        <w:t>3)</w:t>
      </w:r>
      <w:r w:rsidR="00FA67E1">
        <w:rPr>
          <w:rFonts w:ascii="Arial" w:eastAsia="Arial" w:hAnsi="Arial" w:cs="Arial"/>
          <w:sz w:val="20"/>
          <w:szCs w:val="20"/>
        </w:rPr>
        <w:t xml:space="preserve"> non-profit </w:t>
      </w:r>
      <w:r w:rsidR="005065F0">
        <w:rPr>
          <w:rFonts w:ascii="Arial" w:eastAsia="Arial" w:hAnsi="Arial" w:cs="Arial"/>
          <w:sz w:val="20"/>
          <w:szCs w:val="20"/>
        </w:rPr>
        <w:t>organization</w:t>
      </w:r>
      <w:r w:rsidR="008F7219">
        <w:rPr>
          <w:rFonts w:ascii="Arial" w:eastAsia="Arial" w:hAnsi="Arial" w:cs="Arial"/>
          <w:sz w:val="20"/>
          <w:szCs w:val="20"/>
        </w:rPr>
        <w:t xml:space="preserve"> registered in the state of New York</w:t>
      </w:r>
      <w:r w:rsidR="00FA67E1">
        <w:rPr>
          <w:rFonts w:ascii="Arial" w:eastAsia="Arial" w:hAnsi="Arial" w:cs="Arial"/>
          <w:sz w:val="20"/>
          <w:szCs w:val="20"/>
        </w:rPr>
        <w:t xml:space="preserve">, shall use its best efforts to retain records for the period of their immediate or current use and in accordance with this Record Retention and Document Destruction Policy (this </w:t>
      </w:r>
      <w:r w:rsidR="00FA67E1" w:rsidRPr="00B4447D">
        <w:rPr>
          <w:rFonts w:ascii="Arial" w:eastAsia="Arial" w:hAnsi="Arial" w:cs="Arial"/>
          <w:sz w:val="20"/>
          <w:szCs w:val="20"/>
        </w:rPr>
        <w:t>“Policy”), unless longer retention is necessary for historical reference or to comply with contractual or legal requirements.  Records and documents outlined in this Policy include paper, electronic files (including e-mail) and voicemail records regardless of where the document is stored, including network servers, desktop or laptop computers and handheld computers and other wireless devices with text messaging capabilities (collectively, “Documents”).</w:t>
      </w:r>
    </w:p>
    <w:p w14:paraId="260267DB" w14:textId="1A6E4DAF" w:rsidR="00E30DFF" w:rsidRDefault="005065F0">
      <w:pPr>
        <w:widowControl w:val="0"/>
        <w:spacing w:after="240"/>
        <w:contextualSpacing w:val="0"/>
      </w:pPr>
      <w:r>
        <w:rPr>
          <w:rFonts w:ascii="Arial" w:eastAsia="Arial" w:hAnsi="Arial" w:cs="Arial"/>
          <w:sz w:val="20"/>
          <w:szCs w:val="20"/>
        </w:rPr>
        <w:t>Personnel of the FFC</w:t>
      </w:r>
      <w:r w:rsidR="00FA67E1">
        <w:rPr>
          <w:rFonts w:ascii="Arial" w:eastAsia="Arial" w:hAnsi="Arial" w:cs="Arial"/>
          <w:sz w:val="20"/>
          <w:szCs w:val="20"/>
        </w:rPr>
        <w:t xml:space="preserve"> shall not knowingly destroy any Document in violation of this Policy or with the intent to obstruct or influence an investigation or proper administration of any matter within the jurisdiction of any department agency of the United States or in relation to or contemplation of any such matter or case.</w:t>
      </w:r>
    </w:p>
    <w:p w14:paraId="4557070A" w14:textId="1A447AF1" w:rsidR="00E30DFF" w:rsidRDefault="00FA67E1">
      <w:pPr>
        <w:widowControl w:val="0"/>
        <w:spacing w:after="240"/>
        <w:contextualSpacing w:val="0"/>
      </w:pPr>
      <w:r>
        <w:rPr>
          <w:rFonts w:ascii="Arial" w:eastAsia="Arial" w:hAnsi="Arial" w:cs="Arial"/>
          <w:sz w:val="20"/>
          <w:szCs w:val="20"/>
        </w:rPr>
        <w:t xml:space="preserve">Documents that have been retained beyond the period indicated in the chart below may be destroyed periodically, taking into consideration constraints on storage space and staff time.  Notwithstanding the foregoing, if litigation is filed or government investigation </w:t>
      </w:r>
      <w:r w:rsidR="005065F0">
        <w:rPr>
          <w:rFonts w:ascii="Arial" w:eastAsia="Arial" w:hAnsi="Arial" w:cs="Arial"/>
          <w:sz w:val="20"/>
          <w:szCs w:val="20"/>
        </w:rPr>
        <w:t>is commenced against the FFC</w:t>
      </w:r>
      <w:r>
        <w:rPr>
          <w:rFonts w:ascii="Arial" w:eastAsia="Arial" w:hAnsi="Arial" w:cs="Arial"/>
          <w:sz w:val="20"/>
          <w:szCs w:val="20"/>
        </w:rPr>
        <w:t>, from the date suc</w:t>
      </w:r>
      <w:r w:rsidR="005065F0">
        <w:rPr>
          <w:rFonts w:ascii="Arial" w:eastAsia="Arial" w:hAnsi="Arial" w:cs="Arial"/>
          <w:sz w:val="20"/>
          <w:szCs w:val="20"/>
        </w:rPr>
        <w:t>h action is known to FFC</w:t>
      </w:r>
      <w:r>
        <w:rPr>
          <w:rFonts w:ascii="Arial" w:eastAsia="Arial" w:hAnsi="Arial" w:cs="Arial"/>
          <w:sz w:val="20"/>
          <w:szCs w:val="20"/>
        </w:rPr>
        <w:t>, all destruction of Documents shall be suspended as promptly as is reasonable under the circumstances.</w:t>
      </w:r>
    </w:p>
    <w:p w14:paraId="36B5D33D" w14:textId="71BEF185" w:rsidR="00E30DFF" w:rsidRDefault="005065F0">
      <w:pPr>
        <w:widowControl w:val="0"/>
        <w:spacing w:after="240"/>
        <w:contextualSpacing w:val="0"/>
      </w:pPr>
      <w:r>
        <w:rPr>
          <w:rFonts w:ascii="Arial" w:eastAsia="Arial" w:hAnsi="Arial" w:cs="Arial"/>
          <w:sz w:val="20"/>
          <w:szCs w:val="20"/>
        </w:rPr>
        <w:t>The FFC</w:t>
      </w:r>
      <w:r w:rsidR="00FA67E1">
        <w:rPr>
          <w:rFonts w:ascii="Arial" w:eastAsia="Arial" w:hAnsi="Arial" w:cs="Arial"/>
          <w:sz w:val="20"/>
          <w:szCs w:val="20"/>
        </w:rPr>
        <w:t>’s retention requirements for Documents under this Policy shall be as follows:</w:t>
      </w:r>
    </w:p>
    <w:tbl>
      <w:tblPr>
        <w:tblStyle w:val="a"/>
        <w:tblW w:w="90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440"/>
        <w:gridCol w:w="2654"/>
      </w:tblGrid>
      <w:tr w:rsidR="00E30DFF" w14:paraId="07642B68" w14:textId="77777777">
        <w:tc>
          <w:tcPr>
            <w:tcW w:w="6440" w:type="dxa"/>
            <w:tcMar>
              <w:left w:w="0" w:type="dxa"/>
              <w:right w:w="0" w:type="dxa"/>
            </w:tcMar>
          </w:tcPr>
          <w:p w14:paraId="7875A55F" w14:textId="77777777" w:rsidR="00E30DFF" w:rsidRDefault="00FA67E1">
            <w:pPr>
              <w:widowControl w:val="0"/>
              <w:contextualSpacing w:val="0"/>
              <w:jc w:val="center"/>
            </w:pPr>
            <w:r>
              <w:rPr>
                <w:rFonts w:ascii="Arial" w:eastAsia="Arial" w:hAnsi="Arial" w:cs="Arial"/>
                <w:b/>
                <w:sz w:val="20"/>
                <w:szCs w:val="20"/>
              </w:rPr>
              <w:t>Type of Document</w:t>
            </w:r>
          </w:p>
        </w:tc>
        <w:tc>
          <w:tcPr>
            <w:tcW w:w="2654" w:type="dxa"/>
            <w:tcMar>
              <w:left w:w="0" w:type="dxa"/>
              <w:right w:w="0" w:type="dxa"/>
            </w:tcMar>
          </w:tcPr>
          <w:p w14:paraId="54562206" w14:textId="77777777" w:rsidR="00E30DFF" w:rsidRDefault="00FA67E1">
            <w:pPr>
              <w:widowControl w:val="0"/>
              <w:contextualSpacing w:val="0"/>
            </w:pPr>
            <w:r>
              <w:rPr>
                <w:rFonts w:ascii="Arial" w:eastAsia="Arial" w:hAnsi="Arial" w:cs="Arial"/>
                <w:b/>
                <w:sz w:val="20"/>
                <w:szCs w:val="20"/>
              </w:rPr>
              <w:t>Minimum Requirement</w:t>
            </w:r>
          </w:p>
        </w:tc>
      </w:tr>
      <w:tr w:rsidR="00E30DFF" w14:paraId="5ABD54BD" w14:textId="77777777">
        <w:tc>
          <w:tcPr>
            <w:tcW w:w="6440" w:type="dxa"/>
            <w:tcMar>
              <w:left w:w="0" w:type="dxa"/>
              <w:right w:w="0" w:type="dxa"/>
            </w:tcMar>
          </w:tcPr>
          <w:p w14:paraId="28E1E57D" w14:textId="77777777" w:rsidR="00E30DFF" w:rsidRDefault="00FA67E1">
            <w:pPr>
              <w:widowControl w:val="0"/>
              <w:contextualSpacing w:val="0"/>
            </w:pPr>
            <w:r>
              <w:rPr>
                <w:rFonts w:ascii="Arial" w:eastAsia="Arial" w:hAnsi="Arial" w:cs="Arial"/>
                <w:sz w:val="20"/>
                <w:szCs w:val="20"/>
              </w:rPr>
              <w:t>Accounts payable ledgers and schedules</w:t>
            </w:r>
          </w:p>
        </w:tc>
        <w:tc>
          <w:tcPr>
            <w:tcW w:w="2654" w:type="dxa"/>
            <w:tcMar>
              <w:left w:w="0" w:type="dxa"/>
              <w:right w:w="0" w:type="dxa"/>
            </w:tcMar>
          </w:tcPr>
          <w:p w14:paraId="7D2DA26E" w14:textId="77777777" w:rsidR="00E30DFF" w:rsidRDefault="00FA67E1">
            <w:pPr>
              <w:widowControl w:val="0"/>
              <w:contextualSpacing w:val="0"/>
            </w:pPr>
            <w:r>
              <w:rPr>
                <w:rFonts w:ascii="Arial" w:eastAsia="Arial" w:hAnsi="Arial" w:cs="Arial"/>
                <w:sz w:val="20"/>
                <w:szCs w:val="20"/>
              </w:rPr>
              <w:t>7 years</w:t>
            </w:r>
          </w:p>
        </w:tc>
      </w:tr>
      <w:tr w:rsidR="00E30DFF" w14:paraId="4524C691" w14:textId="77777777">
        <w:tc>
          <w:tcPr>
            <w:tcW w:w="6440" w:type="dxa"/>
            <w:tcMar>
              <w:left w:w="0" w:type="dxa"/>
              <w:right w:w="0" w:type="dxa"/>
            </w:tcMar>
          </w:tcPr>
          <w:p w14:paraId="2C68BD63" w14:textId="77777777" w:rsidR="00E30DFF" w:rsidRDefault="00FA67E1">
            <w:pPr>
              <w:widowControl w:val="0"/>
              <w:contextualSpacing w:val="0"/>
            </w:pPr>
            <w:r>
              <w:rPr>
                <w:rFonts w:ascii="Arial" w:eastAsia="Arial" w:hAnsi="Arial" w:cs="Arial"/>
                <w:sz w:val="20"/>
                <w:szCs w:val="20"/>
              </w:rPr>
              <w:t>Audit reports</w:t>
            </w:r>
          </w:p>
        </w:tc>
        <w:tc>
          <w:tcPr>
            <w:tcW w:w="2654" w:type="dxa"/>
            <w:tcMar>
              <w:left w:w="0" w:type="dxa"/>
              <w:right w:w="0" w:type="dxa"/>
            </w:tcMar>
          </w:tcPr>
          <w:p w14:paraId="493659ED" w14:textId="77777777" w:rsidR="00E30DFF" w:rsidRDefault="00FA67E1">
            <w:pPr>
              <w:widowControl w:val="0"/>
              <w:contextualSpacing w:val="0"/>
            </w:pPr>
            <w:r>
              <w:rPr>
                <w:rFonts w:ascii="Arial" w:eastAsia="Arial" w:hAnsi="Arial" w:cs="Arial"/>
                <w:sz w:val="20"/>
                <w:szCs w:val="20"/>
              </w:rPr>
              <w:t>Permanently</w:t>
            </w:r>
          </w:p>
        </w:tc>
      </w:tr>
      <w:tr w:rsidR="00E30DFF" w14:paraId="779A4F69" w14:textId="77777777">
        <w:tc>
          <w:tcPr>
            <w:tcW w:w="6440" w:type="dxa"/>
            <w:tcMar>
              <w:left w:w="0" w:type="dxa"/>
              <w:right w:w="0" w:type="dxa"/>
            </w:tcMar>
          </w:tcPr>
          <w:p w14:paraId="2EE290FA" w14:textId="77777777" w:rsidR="00E30DFF" w:rsidRDefault="00FA67E1">
            <w:pPr>
              <w:widowControl w:val="0"/>
              <w:contextualSpacing w:val="0"/>
            </w:pPr>
            <w:r>
              <w:rPr>
                <w:rFonts w:ascii="Arial" w:eastAsia="Arial" w:hAnsi="Arial" w:cs="Arial"/>
                <w:sz w:val="20"/>
                <w:szCs w:val="20"/>
              </w:rPr>
              <w:t>Bank reconciliations</w:t>
            </w:r>
          </w:p>
        </w:tc>
        <w:tc>
          <w:tcPr>
            <w:tcW w:w="2654" w:type="dxa"/>
            <w:tcMar>
              <w:left w:w="0" w:type="dxa"/>
              <w:right w:w="0" w:type="dxa"/>
            </w:tcMar>
          </w:tcPr>
          <w:p w14:paraId="44E09AAA" w14:textId="77777777" w:rsidR="00E30DFF" w:rsidRDefault="00FA67E1">
            <w:pPr>
              <w:widowControl w:val="0"/>
              <w:contextualSpacing w:val="0"/>
            </w:pPr>
            <w:r>
              <w:rPr>
                <w:rFonts w:ascii="Arial" w:eastAsia="Arial" w:hAnsi="Arial" w:cs="Arial"/>
                <w:sz w:val="20"/>
                <w:szCs w:val="20"/>
              </w:rPr>
              <w:t>2 years</w:t>
            </w:r>
          </w:p>
        </w:tc>
      </w:tr>
      <w:tr w:rsidR="00E30DFF" w14:paraId="6BBB0A18" w14:textId="77777777">
        <w:tc>
          <w:tcPr>
            <w:tcW w:w="6440" w:type="dxa"/>
            <w:tcMar>
              <w:left w:w="0" w:type="dxa"/>
              <w:right w:w="0" w:type="dxa"/>
            </w:tcMar>
          </w:tcPr>
          <w:p w14:paraId="75E55F4F" w14:textId="77777777" w:rsidR="00E30DFF" w:rsidRDefault="00FA67E1">
            <w:pPr>
              <w:widowControl w:val="0"/>
              <w:contextualSpacing w:val="0"/>
            </w:pPr>
            <w:r>
              <w:rPr>
                <w:rFonts w:ascii="Arial" w:eastAsia="Arial" w:hAnsi="Arial" w:cs="Arial"/>
                <w:sz w:val="20"/>
                <w:szCs w:val="20"/>
              </w:rPr>
              <w:t>Bank statements</w:t>
            </w:r>
          </w:p>
        </w:tc>
        <w:tc>
          <w:tcPr>
            <w:tcW w:w="2654" w:type="dxa"/>
            <w:tcMar>
              <w:left w:w="0" w:type="dxa"/>
              <w:right w:w="0" w:type="dxa"/>
            </w:tcMar>
          </w:tcPr>
          <w:p w14:paraId="7B8656C0" w14:textId="77777777" w:rsidR="00E30DFF" w:rsidRDefault="00FA67E1">
            <w:pPr>
              <w:widowControl w:val="0"/>
              <w:contextualSpacing w:val="0"/>
            </w:pPr>
            <w:r>
              <w:rPr>
                <w:rFonts w:ascii="Arial" w:eastAsia="Arial" w:hAnsi="Arial" w:cs="Arial"/>
                <w:sz w:val="20"/>
                <w:szCs w:val="20"/>
              </w:rPr>
              <w:t>3 years</w:t>
            </w:r>
          </w:p>
        </w:tc>
      </w:tr>
      <w:tr w:rsidR="00E30DFF" w14:paraId="3AC1E9C1" w14:textId="77777777">
        <w:tc>
          <w:tcPr>
            <w:tcW w:w="6440" w:type="dxa"/>
            <w:tcMar>
              <w:left w:w="0" w:type="dxa"/>
              <w:right w:w="0" w:type="dxa"/>
            </w:tcMar>
          </w:tcPr>
          <w:p w14:paraId="017F2EC9" w14:textId="77777777" w:rsidR="00E30DFF" w:rsidRDefault="00FA67E1">
            <w:pPr>
              <w:widowControl w:val="0"/>
              <w:contextualSpacing w:val="0"/>
            </w:pPr>
            <w:r>
              <w:rPr>
                <w:rFonts w:ascii="Arial" w:eastAsia="Arial" w:hAnsi="Arial" w:cs="Arial"/>
                <w:sz w:val="20"/>
                <w:szCs w:val="20"/>
              </w:rPr>
              <w:t>Checks (for significant payments and purchases)</w:t>
            </w:r>
          </w:p>
        </w:tc>
        <w:tc>
          <w:tcPr>
            <w:tcW w:w="2654" w:type="dxa"/>
            <w:tcMar>
              <w:left w:w="0" w:type="dxa"/>
              <w:right w:w="0" w:type="dxa"/>
            </w:tcMar>
          </w:tcPr>
          <w:p w14:paraId="07329670" w14:textId="77777777" w:rsidR="00E30DFF" w:rsidRDefault="00FA67E1">
            <w:pPr>
              <w:widowControl w:val="0"/>
              <w:contextualSpacing w:val="0"/>
            </w:pPr>
            <w:r>
              <w:rPr>
                <w:rFonts w:ascii="Arial" w:eastAsia="Arial" w:hAnsi="Arial" w:cs="Arial"/>
                <w:sz w:val="20"/>
                <w:szCs w:val="20"/>
              </w:rPr>
              <w:t>Permanently</w:t>
            </w:r>
          </w:p>
        </w:tc>
      </w:tr>
      <w:tr w:rsidR="00E30DFF" w14:paraId="7CF7402A" w14:textId="77777777">
        <w:tc>
          <w:tcPr>
            <w:tcW w:w="6440" w:type="dxa"/>
            <w:tcMar>
              <w:left w:w="0" w:type="dxa"/>
              <w:right w:w="0" w:type="dxa"/>
            </w:tcMar>
          </w:tcPr>
          <w:p w14:paraId="3C3176C1" w14:textId="77777777" w:rsidR="00E30DFF" w:rsidRDefault="00FA67E1">
            <w:pPr>
              <w:widowControl w:val="0"/>
              <w:contextualSpacing w:val="0"/>
            </w:pPr>
            <w:r>
              <w:rPr>
                <w:rFonts w:ascii="Arial" w:eastAsia="Arial" w:hAnsi="Arial" w:cs="Arial"/>
                <w:sz w:val="20"/>
                <w:szCs w:val="20"/>
              </w:rPr>
              <w:t>Contracts, mortgages, notes and leases (expired)</w:t>
            </w:r>
          </w:p>
        </w:tc>
        <w:tc>
          <w:tcPr>
            <w:tcW w:w="2654" w:type="dxa"/>
            <w:tcMar>
              <w:left w:w="0" w:type="dxa"/>
              <w:right w:w="0" w:type="dxa"/>
            </w:tcMar>
          </w:tcPr>
          <w:p w14:paraId="50A59FFB" w14:textId="77777777" w:rsidR="00E30DFF" w:rsidRDefault="00FA67E1">
            <w:pPr>
              <w:widowControl w:val="0"/>
              <w:contextualSpacing w:val="0"/>
            </w:pPr>
            <w:r>
              <w:rPr>
                <w:rFonts w:ascii="Arial" w:eastAsia="Arial" w:hAnsi="Arial" w:cs="Arial"/>
                <w:sz w:val="20"/>
                <w:szCs w:val="20"/>
              </w:rPr>
              <w:t>7 years</w:t>
            </w:r>
          </w:p>
        </w:tc>
      </w:tr>
      <w:tr w:rsidR="00E30DFF" w14:paraId="15B9BE59" w14:textId="77777777">
        <w:tc>
          <w:tcPr>
            <w:tcW w:w="6440" w:type="dxa"/>
            <w:tcMar>
              <w:left w:w="0" w:type="dxa"/>
              <w:right w:w="0" w:type="dxa"/>
            </w:tcMar>
          </w:tcPr>
          <w:p w14:paraId="34657F3F" w14:textId="77777777" w:rsidR="00E30DFF" w:rsidRDefault="00FA67E1">
            <w:pPr>
              <w:widowControl w:val="0"/>
              <w:contextualSpacing w:val="0"/>
            </w:pPr>
            <w:r>
              <w:rPr>
                <w:rFonts w:ascii="Arial" w:eastAsia="Arial" w:hAnsi="Arial" w:cs="Arial"/>
                <w:sz w:val="20"/>
                <w:szCs w:val="20"/>
              </w:rPr>
              <w:t>Contracts (still in effect)</w:t>
            </w:r>
          </w:p>
        </w:tc>
        <w:tc>
          <w:tcPr>
            <w:tcW w:w="2654" w:type="dxa"/>
            <w:tcMar>
              <w:left w:w="0" w:type="dxa"/>
              <w:right w:w="0" w:type="dxa"/>
            </w:tcMar>
          </w:tcPr>
          <w:p w14:paraId="34CF749F" w14:textId="77777777" w:rsidR="00E30DFF" w:rsidRDefault="00FA67E1">
            <w:pPr>
              <w:widowControl w:val="0"/>
              <w:contextualSpacing w:val="0"/>
            </w:pPr>
            <w:r>
              <w:rPr>
                <w:rFonts w:ascii="Arial" w:eastAsia="Arial" w:hAnsi="Arial" w:cs="Arial"/>
                <w:sz w:val="20"/>
                <w:szCs w:val="20"/>
              </w:rPr>
              <w:t>Permanently</w:t>
            </w:r>
          </w:p>
        </w:tc>
      </w:tr>
      <w:tr w:rsidR="00E30DFF" w14:paraId="18E01F80" w14:textId="77777777">
        <w:tc>
          <w:tcPr>
            <w:tcW w:w="6440" w:type="dxa"/>
            <w:tcMar>
              <w:left w:w="0" w:type="dxa"/>
              <w:right w:w="0" w:type="dxa"/>
            </w:tcMar>
          </w:tcPr>
          <w:p w14:paraId="11C813DB" w14:textId="77777777" w:rsidR="00E30DFF" w:rsidRDefault="00FA67E1">
            <w:pPr>
              <w:widowControl w:val="0"/>
              <w:contextualSpacing w:val="0"/>
            </w:pPr>
            <w:r>
              <w:rPr>
                <w:rFonts w:ascii="Arial" w:eastAsia="Arial" w:hAnsi="Arial" w:cs="Arial"/>
                <w:sz w:val="20"/>
                <w:szCs w:val="20"/>
              </w:rPr>
              <w:t>Correspondence (general)</w:t>
            </w:r>
          </w:p>
        </w:tc>
        <w:tc>
          <w:tcPr>
            <w:tcW w:w="2654" w:type="dxa"/>
            <w:tcMar>
              <w:left w:w="0" w:type="dxa"/>
              <w:right w:w="0" w:type="dxa"/>
            </w:tcMar>
          </w:tcPr>
          <w:p w14:paraId="43AE82E3" w14:textId="77777777" w:rsidR="00E30DFF" w:rsidRDefault="00FA67E1">
            <w:pPr>
              <w:widowControl w:val="0"/>
              <w:contextualSpacing w:val="0"/>
            </w:pPr>
            <w:r>
              <w:rPr>
                <w:rFonts w:ascii="Arial" w:eastAsia="Arial" w:hAnsi="Arial" w:cs="Arial"/>
                <w:sz w:val="20"/>
                <w:szCs w:val="20"/>
              </w:rPr>
              <w:t>2 years</w:t>
            </w:r>
          </w:p>
        </w:tc>
      </w:tr>
      <w:tr w:rsidR="00E30DFF" w14:paraId="5272B897" w14:textId="77777777">
        <w:tc>
          <w:tcPr>
            <w:tcW w:w="6440" w:type="dxa"/>
            <w:tcMar>
              <w:left w:w="0" w:type="dxa"/>
              <w:right w:w="0" w:type="dxa"/>
            </w:tcMar>
          </w:tcPr>
          <w:p w14:paraId="69252D97" w14:textId="77777777" w:rsidR="00E30DFF" w:rsidRDefault="00FA67E1">
            <w:pPr>
              <w:widowControl w:val="0"/>
              <w:contextualSpacing w:val="0"/>
            </w:pPr>
            <w:r>
              <w:rPr>
                <w:rFonts w:ascii="Arial" w:eastAsia="Arial" w:hAnsi="Arial" w:cs="Arial"/>
                <w:sz w:val="20"/>
                <w:szCs w:val="20"/>
              </w:rPr>
              <w:t>Correspondence (legal matters and complaints)</w:t>
            </w:r>
          </w:p>
        </w:tc>
        <w:tc>
          <w:tcPr>
            <w:tcW w:w="2654" w:type="dxa"/>
            <w:tcMar>
              <w:left w:w="0" w:type="dxa"/>
              <w:right w:w="0" w:type="dxa"/>
            </w:tcMar>
          </w:tcPr>
          <w:p w14:paraId="5252ED9E" w14:textId="77777777" w:rsidR="00E30DFF" w:rsidRDefault="00FA67E1">
            <w:pPr>
              <w:widowControl w:val="0"/>
              <w:contextualSpacing w:val="0"/>
            </w:pPr>
            <w:r>
              <w:rPr>
                <w:rFonts w:ascii="Arial" w:eastAsia="Arial" w:hAnsi="Arial" w:cs="Arial"/>
                <w:sz w:val="20"/>
                <w:szCs w:val="20"/>
              </w:rPr>
              <w:t>Permanently</w:t>
            </w:r>
          </w:p>
        </w:tc>
      </w:tr>
      <w:tr w:rsidR="00E30DFF" w14:paraId="1DC2D6B1" w14:textId="77777777">
        <w:tc>
          <w:tcPr>
            <w:tcW w:w="6440" w:type="dxa"/>
            <w:tcMar>
              <w:left w:w="0" w:type="dxa"/>
              <w:right w:w="0" w:type="dxa"/>
            </w:tcMar>
          </w:tcPr>
          <w:p w14:paraId="16204BCE" w14:textId="77777777" w:rsidR="00E30DFF" w:rsidRDefault="00FA67E1">
            <w:pPr>
              <w:widowControl w:val="0"/>
              <w:contextualSpacing w:val="0"/>
            </w:pPr>
            <w:r>
              <w:rPr>
                <w:rFonts w:ascii="Arial" w:eastAsia="Arial" w:hAnsi="Arial" w:cs="Arial"/>
                <w:sz w:val="20"/>
                <w:szCs w:val="20"/>
              </w:rPr>
              <w:t>Deeds, mortgages and bills of sale</w:t>
            </w:r>
          </w:p>
        </w:tc>
        <w:tc>
          <w:tcPr>
            <w:tcW w:w="2654" w:type="dxa"/>
            <w:tcMar>
              <w:left w:w="0" w:type="dxa"/>
              <w:right w:w="0" w:type="dxa"/>
            </w:tcMar>
          </w:tcPr>
          <w:p w14:paraId="7008D43B" w14:textId="77777777" w:rsidR="00E30DFF" w:rsidRDefault="00FA67E1">
            <w:pPr>
              <w:widowControl w:val="0"/>
              <w:contextualSpacing w:val="0"/>
            </w:pPr>
            <w:r>
              <w:rPr>
                <w:rFonts w:ascii="Arial" w:eastAsia="Arial" w:hAnsi="Arial" w:cs="Arial"/>
                <w:sz w:val="20"/>
                <w:szCs w:val="20"/>
              </w:rPr>
              <w:t>Permanently</w:t>
            </w:r>
          </w:p>
        </w:tc>
      </w:tr>
      <w:tr w:rsidR="00E30DFF" w14:paraId="66859A4A" w14:textId="77777777">
        <w:tc>
          <w:tcPr>
            <w:tcW w:w="6440" w:type="dxa"/>
            <w:tcMar>
              <w:left w:w="0" w:type="dxa"/>
              <w:right w:w="0" w:type="dxa"/>
            </w:tcMar>
          </w:tcPr>
          <w:p w14:paraId="56B3167F" w14:textId="77777777" w:rsidR="00E30DFF" w:rsidRDefault="00FA67E1">
            <w:pPr>
              <w:widowControl w:val="0"/>
              <w:contextualSpacing w:val="0"/>
            </w:pPr>
            <w:r>
              <w:rPr>
                <w:rFonts w:ascii="Arial" w:eastAsia="Arial" w:hAnsi="Arial" w:cs="Arial"/>
                <w:sz w:val="20"/>
                <w:szCs w:val="20"/>
              </w:rPr>
              <w:t>Depreciation schedules</w:t>
            </w:r>
          </w:p>
        </w:tc>
        <w:tc>
          <w:tcPr>
            <w:tcW w:w="2654" w:type="dxa"/>
            <w:tcMar>
              <w:left w:w="0" w:type="dxa"/>
              <w:right w:w="0" w:type="dxa"/>
            </w:tcMar>
          </w:tcPr>
          <w:p w14:paraId="2F72E9F1" w14:textId="77777777" w:rsidR="00E30DFF" w:rsidRDefault="00FA67E1">
            <w:pPr>
              <w:widowControl w:val="0"/>
              <w:contextualSpacing w:val="0"/>
            </w:pPr>
            <w:r>
              <w:rPr>
                <w:rFonts w:ascii="Arial" w:eastAsia="Arial" w:hAnsi="Arial" w:cs="Arial"/>
                <w:sz w:val="20"/>
                <w:szCs w:val="20"/>
              </w:rPr>
              <w:t>Permanently</w:t>
            </w:r>
          </w:p>
        </w:tc>
      </w:tr>
      <w:tr w:rsidR="00E30DFF" w14:paraId="730AA3DF" w14:textId="77777777">
        <w:tc>
          <w:tcPr>
            <w:tcW w:w="6440" w:type="dxa"/>
            <w:tcMar>
              <w:left w:w="0" w:type="dxa"/>
              <w:right w:w="0" w:type="dxa"/>
            </w:tcMar>
          </w:tcPr>
          <w:p w14:paraId="2E7CFD9F" w14:textId="77777777" w:rsidR="00E30DFF" w:rsidRDefault="00FA67E1">
            <w:pPr>
              <w:widowControl w:val="0"/>
              <w:contextualSpacing w:val="0"/>
            </w:pPr>
            <w:r>
              <w:rPr>
                <w:rFonts w:ascii="Arial" w:eastAsia="Arial" w:hAnsi="Arial" w:cs="Arial"/>
                <w:sz w:val="20"/>
                <w:szCs w:val="20"/>
              </w:rPr>
              <w:t>Duplicate deposit slips</w:t>
            </w:r>
          </w:p>
        </w:tc>
        <w:tc>
          <w:tcPr>
            <w:tcW w:w="2654" w:type="dxa"/>
            <w:tcMar>
              <w:left w:w="0" w:type="dxa"/>
              <w:right w:w="0" w:type="dxa"/>
            </w:tcMar>
          </w:tcPr>
          <w:p w14:paraId="0C1A9674" w14:textId="77777777" w:rsidR="00E30DFF" w:rsidRDefault="00FA67E1">
            <w:pPr>
              <w:widowControl w:val="0"/>
              <w:contextualSpacing w:val="0"/>
            </w:pPr>
            <w:r>
              <w:rPr>
                <w:rFonts w:ascii="Arial" w:eastAsia="Arial" w:hAnsi="Arial" w:cs="Arial"/>
                <w:sz w:val="20"/>
                <w:szCs w:val="20"/>
              </w:rPr>
              <w:t>2 years</w:t>
            </w:r>
          </w:p>
        </w:tc>
      </w:tr>
      <w:tr w:rsidR="00E30DFF" w14:paraId="37A269A2" w14:textId="77777777">
        <w:tc>
          <w:tcPr>
            <w:tcW w:w="6440" w:type="dxa"/>
            <w:tcMar>
              <w:left w:w="0" w:type="dxa"/>
              <w:right w:w="0" w:type="dxa"/>
            </w:tcMar>
          </w:tcPr>
          <w:p w14:paraId="7A3DAA01" w14:textId="77777777" w:rsidR="00E30DFF" w:rsidRDefault="00FA67E1">
            <w:pPr>
              <w:widowControl w:val="0"/>
              <w:contextualSpacing w:val="0"/>
            </w:pPr>
            <w:r>
              <w:rPr>
                <w:rFonts w:ascii="Arial" w:eastAsia="Arial" w:hAnsi="Arial" w:cs="Arial"/>
                <w:sz w:val="20"/>
                <w:szCs w:val="20"/>
              </w:rPr>
              <w:t>Employment applications</w:t>
            </w:r>
          </w:p>
        </w:tc>
        <w:tc>
          <w:tcPr>
            <w:tcW w:w="2654" w:type="dxa"/>
            <w:tcMar>
              <w:left w:w="0" w:type="dxa"/>
              <w:right w:w="0" w:type="dxa"/>
            </w:tcMar>
          </w:tcPr>
          <w:p w14:paraId="2AAFDC47" w14:textId="77777777" w:rsidR="00E30DFF" w:rsidRDefault="00FA67E1">
            <w:pPr>
              <w:widowControl w:val="0"/>
              <w:contextualSpacing w:val="0"/>
            </w:pPr>
            <w:r>
              <w:rPr>
                <w:rFonts w:ascii="Arial" w:eastAsia="Arial" w:hAnsi="Arial" w:cs="Arial"/>
                <w:sz w:val="20"/>
                <w:szCs w:val="20"/>
              </w:rPr>
              <w:t>3 years</w:t>
            </w:r>
          </w:p>
        </w:tc>
      </w:tr>
      <w:tr w:rsidR="00E30DFF" w14:paraId="7765DBD6" w14:textId="77777777">
        <w:tc>
          <w:tcPr>
            <w:tcW w:w="6440" w:type="dxa"/>
            <w:tcMar>
              <w:left w:w="0" w:type="dxa"/>
              <w:right w:w="0" w:type="dxa"/>
            </w:tcMar>
          </w:tcPr>
          <w:p w14:paraId="6CBB3D85" w14:textId="248293F1" w:rsidR="00E30DFF" w:rsidRDefault="00FA67E1">
            <w:pPr>
              <w:widowControl w:val="0"/>
              <w:contextualSpacing w:val="0"/>
            </w:pPr>
            <w:r>
              <w:rPr>
                <w:rFonts w:ascii="Arial" w:eastAsia="Arial" w:hAnsi="Arial" w:cs="Arial"/>
                <w:sz w:val="20"/>
                <w:szCs w:val="20"/>
              </w:rPr>
              <w:t>Expense analys</w:t>
            </w:r>
            <w:r w:rsidR="002A6B9D">
              <w:rPr>
                <w:rFonts w:ascii="Arial" w:eastAsia="Arial" w:hAnsi="Arial" w:cs="Arial"/>
                <w:sz w:val="20"/>
                <w:szCs w:val="20"/>
              </w:rPr>
              <w:t>i</w:t>
            </w:r>
            <w:r>
              <w:rPr>
                <w:rFonts w:ascii="Arial" w:eastAsia="Arial" w:hAnsi="Arial" w:cs="Arial"/>
                <w:sz w:val="20"/>
                <w:szCs w:val="20"/>
              </w:rPr>
              <w:t>s/expense distribution schedules</w:t>
            </w:r>
          </w:p>
        </w:tc>
        <w:tc>
          <w:tcPr>
            <w:tcW w:w="2654" w:type="dxa"/>
            <w:tcMar>
              <w:left w:w="0" w:type="dxa"/>
              <w:right w:w="0" w:type="dxa"/>
            </w:tcMar>
          </w:tcPr>
          <w:p w14:paraId="66341711" w14:textId="77777777" w:rsidR="00E30DFF" w:rsidRDefault="00FA67E1">
            <w:pPr>
              <w:widowControl w:val="0"/>
              <w:contextualSpacing w:val="0"/>
            </w:pPr>
            <w:r>
              <w:rPr>
                <w:rFonts w:ascii="Arial" w:eastAsia="Arial" w:hAnsi="Arial" w:cs="Arial"/>
                <w:sz w:val="20"/>
                <w:szCs w:val="20"/>
              </w:rPr>
              <w:t>7 years</w:t>
            </w:r>
          </w:p>
        </w:tc>
      </w:tr>
      <w:tr w:rsidR="00FB39D4" w14:paraId="32957528" w14:textId="77777777">
        <w:tc>
          <w:tcPr>
            <w:tcW w:w="6440" w:type="dxa"/>
            <w:tcMar>
              <w:left w:w="0" w:type="dxa"/>
              <w:right w:w="0" w:type="dxa"/>
            </w:tcMar>
          </w:tcPr>
          <w:p w14:paraId="0CD8AF4E" w14:textId="0E1CB19F" w:rsidR="00FB39D4" w:rsidRDefault="00FB39D4" w:rsidP="00FB39D4">
            <w:pPr>
              <w:widowControl w:val="0"/>
              <w:contextualSpacing w:val="0"/>
              <w:rPr>
                <w:rFonts w:ascii="Arial" w:eastAsia="Arial" w:hAnsi="Arial" w:cs="Arial"/>
                <w:sz w:val="20"/>
                <w:szCs w:val="20"/>
              </w:rPr>
            </w:pPr>
            <w:r>
              <w:rPr>
                <w:rFonts w:ascii="Arial" w:eastAsia="Arial" w:hAnsi="Arial" w:cs="Arial"/>
                <w:sz w:val="20"/>
                <w:szCs w:val="20"/>
              </w:rPr>
              <w:t>Grant Reports/Awarded Grants</w:t>
            </w:r>
          </w:p>
        </w:tc>
        <w:tc>
          <w:tcPr>
            <w:tcW w:w="2654" w:type="dxa"/>
            <w:tcMar>
              <w:left w:w="0" w:type="dxa"/>
              <w:right w:w="0" w:type="dxa"/>
            </w:tcMar>
          </w:tcPr>
          <w:p w14:paraId="6FC9FA55" w14:textId="7DD6D38F" w:rsidR="00FB39D4" w:rsidRDefault="00FB39D4" w:rsidP="00FB39D4">
            <w:pPr>
              <w:widowControl w:val="0"/>
              <w:contextualSpacing w:val="0"/>
              <w:rPr>
                <w:rFonts w:ascii="Arial" w:eastAsia="Arial" w:hAnsi="Arial" w:cs="Arial"/>
                <w:sz w:val="20"/>
                <w:szCs w:val="20"/>
              </w:rPr>
            </w:pPr>
            <w:r>
              <w:rPr>
                <w:rFonts w:ascii="Arial" w:eastAsia="Arial" w:hAnsi="Arial" w:cs="Arial"/>
                <w:sz w:val="20"/>
                <w:szCs w:val="20"/>
              </w:rPr>
              <w:t>7 years</w:t>
            </w:r>
          </w:p>
        </w:tc>
      </w:tr>
      <w:tr w:rsidR="00E30DFF" w14:paraId="1968150C" w14:textId="77777777">
        <w:tc>
          <w:tcPr>
            <w:tcW w:w="6440" w:type="dxa"/>
            <w:tcMar>
              <w:left w:w="0" w:type="dxa"/>
              <w:right w:w="0" w:type="dxa"/>
            </w:tcMar>
          </w:tcPr>
          <w:p w14:paraId="527CAD10" w14:textId="77777777" w:rsidR="00E30DFF" w:rsidRDefault="00FA67E1">
            <w:pPr>
              <w:widowControl w:val="0"/>
              <w:contextualSpacing w:val="0"/>
            </w:pPr>
            <w:r>
              <w:rPr>
                <w:rFonts w:ascii="Arial" w:eastAsia="Arial" w:hAnsi="Arial" w:cs="Arial"/>
                <w:sz w:val="20"/>
                <w:szCs w:val="20"/>
              </w:rPr>
              <w:t>Insurance policies (expired)</w:t>
            </w:r>
          </w:p>
        </w:tc>
        <w:tc>
          <w:tcPr>
            <w:tcW w:w="2654" w:type="dxa"/>
            <w:tcMar>
              <w:left w:w="0" w:type="dxa"/>
              <w:right w:w="0" w:type="dxa"/>
            </w:tcMar>
          </w:tcPr>
          <w:p w14:paraId="140831B8" w14:textId="77777777" w:rsidR="00E30DFF" w:rsidRDefault="00FA67E1">
            <w:pPr>
              <w:widowControl w:val="0"/>
              <w:contextualSpacing w:val="0"/>
            </w:pPr>
            <w:r>
              <w:rPr>
                <w:rFonts w:ascii="Arial" w:eastAsia="Arial" w:hAnsi="Arial" w:cs="Arial"/>
                <w:sz w:val="20"/>
                <w:szCs w:val="20"/>
              </w:rPr>
              <w:t>3 years</w:t>
            </w:r>
          </w:p>
        </w:tc>
      </w:tr>
      <w:tr w:rsidR="00E30DFF" w14:paraId="34BEE0DE" w14:textId="77777777">
        <w:tc>
          <w:tcPr>
            <w:tcW w:w="6440" w:type="dxa"/>
            <w:tcMar>
              <w:left w:w="0" w:type="dxa"/>
              <w:right w:w="0" w:type="dxa"/>
            </w:tcMar>
          </w:tcPr>
          <w:p w14:paraId="48FC1F7C" w14:textId="77777777" w:rsidR="00E30DFF" w:rsidRDefault="00FA67E1">
            <w:pPr>
              <w:widowControl w:val="0"/>
              <w:contextualSpacing w:val="0"/>
            </w:pPr>
            <w:r>
              <w:rPr>
                <w:rFonts w:ascii="Arial" w:eastAsia="Arial" w:hAnsi="Arial" w:cs="Arial"/>
                <w:sz w:val="20"/>
                <w:szCs w:val="20"/>
              </w:rPr>
              <w:t>Insurance records, current accident reports, claims, policies, etc.</w:t>
            </w:r>
          </w:p>
        </w:tc>
        <w:tc>
          <w:tcPr>
            <w:tcW w:w="2654" w:type="dxa"/>
            <w:tcMar>
              <w:left w:w="0" w:type="dxa"/>
              <w:right w:w="0" w:type="dxa"/>
            </w:tcMar>
          </w:tcPr>
          <w:p w14:paraId="0B50C5BF" w14:textId="77777777" w:rsidR="00E30DFF" w:rsidRDefault="00FA67E1">
            <w:pPr>
              <w:widowControl w:val="0"/>
              <w:contextualSpacing w:val="0"/>
            </w:pPr>
            <w:r>
              <w:rPr>
                <w:rFonts w:ascii="Arial" w:eastAsia="Arial" w:hAnsi="Arial" w:cs="Arial"/>
                <w:sz w:val="20"/>
                <w:szCs w:val="20"/>
              </w:rPr>
              <w:t>Permanently</w:t>
            </w:r>
          </w:p>
        </w:tc>
      </w:tr>
      <w:tr w:rsidR="00E30DFF" w14:paraId="2726CECF" w14:textId="77777777">
        <w:tc>
          <w:tcPr>
            <w:tcW w:w="6440" w:type="dxa"/>
            <w:tcMar>
              <w:left w:w="0" w:type="dxa"/>
              <w:right w:w="0" w:type="dxa"/>
            </w:tcMar>
          </w:tcPr>
          <w:p w14:paraId="19C56C22" w14:textId="77777777" w:rsidR="00E30DFF" w:rsidRDefault="00FA67E1">
            <w:pPr>
              <w:widowControl w:val="0"/>
              <w:contextualSpacing w:val="0"/>
            </w:pPr>
            <w:r>
              <w:rPr>
                <w:rFonts w:ascii="Arial" w:eastAsia="Arial" w:hAnsi="Arial" w:cs="Arial"/>
                <w:sz w:val="20"/>
                <w:szCs w:val="20"/>
              </w:rPr>
              <w:t>Internal audit reports</w:t>
            </w:r>
          </w:p>
        </w:tc>
        <w:tc>
          <w:tcPr>
            <w:tcW w:w="2654" w:type="dxa"/>
            <w:tcMar>
              <w:left w:w="0" w:type="dxa"/>
              <w:right w:w="0" w:type="dxa"/>
            </w:tcMar>
          </w:tcPr>
          <w:p w14:paraId="45D212C4" w14:textId="77777777" w:rsidR="00E30DFF" w:rsidRDefault="00FA67E1">
            <w:pPr>
              <w:widowControl w:val="0"/>
              <w:contextualSpacing w:val="0"/>
            </w:pPr>
            <w:r>
              <w:rPr>
                <w:rFonts w:ascii="Arial" w:eastAsia="Arial" w:hAnsi="Arial" w:cs="Arial"/>
                <w:sz w:val="20"/>
                <w:szCs w:val="20"/>
              </w:rPr>
              <w:t>3 years</w:t>
            </w:r>
          </w:p>
        </w:tc>
      </w:tr>
    </w:tbl>
    <w:tbl>
      <w:tblPr>
        <w:tblStyle w:val="a0"/>
        <w:tblW w:w="9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457"/>
        <w:gridCol w:w="2655"/>
      </w:tblGrid>
      <w:tr w:rsidR="00E30DFF" w14:paraId="0FC206ED" w14:textId="77777777">
        <w:tc>
          <w:tcPr>
            <w:tcW w:w="6457" w:type="dxa"/>
            <w:tcMar>
              <w:left w:w="0" w:type="dxa"/>
              <w:right w:w="0" w:type="dxa"/>
            </w:tcMar>
          </w:tcPr>
          <w:p w14:paraId="6CB2514F" w14:textId="77777777" w:rsidR="00E30DFF" w:rsidRDefault="00FA67E1">
            <w:pPr>
              <w:widowControl w:val="0"/>
              <w:contextualSpacing w:val="0"/>
              <w:jc w:val="center"/>
            </w:pPr>
            <w:bookmarkStart w:id="0" w:name="_GoBack"/>
            <w:bookmarkEnd w:id="0"/>
            <w:r>
              <w:rPr>
                <w:rFonts w:ascii="Arial" w:eastAsia="Arial" w:hAnsi="Arial" w:cs="Arial"/>
                <w:b/>
                <w:sz w:val="20"/>
                <w:szCs w:val="20"/>
              </w:rPr>
              <w:lastRenderedPageBreak/>
              <w:t>Type of Document</w:t>
            </w:r>
          </w:p>
        </w:tc>
        <w:tc>
          <w:tcPr>
            <w:tcW w:w="2655" w:type="dxa"/>
            <w:tcMar>
              <w:left w:w="0" w:type="dxa"/>
              <w:right w:w="0" w:type="dxa"/>
            </w:tcMar>
          </w:tcPr>
          <w:p w14:paraId="0FE643C1" w14:textId="77777777" w:rsidR="00E30DFF" w:rsidRDefault="00FA67E1">
            <w:pPr>
              <w:widowControl w:val="0"/>
              <w:contextualSpacing w:val="0"/>
            </w:pPr>
            <w:r>
              <w:rPr>
                <w:rFonts w:ascii="Arial" w:eastAsia="Arial" w:hAnsi="Arial" w:cs="Arial"/>
                <w:b/>
                <w:sz w:val="20"/>
                <w:szCs w:val="20"/>
              </w:rPr>
              <w:t>Minimum Requirement</w:t>
            </w:r>
          </w:p>
        </w:tc>
      </w:tr>
      <w:tr w:rsidR="00E30DFF" w14:paraId="4F0E50C0" w14:textId="77777777">
        <w:tc>
          <w:tcPr>
            <w:tcW w:w="6457" w:type="dxa"/>
            <w:tcMar>
              <w:left w:w="0" w:type="dxa"/>
              <w:right w:w="0" w:type="dxa"/>
            </w:tcMar>
          </w:tcPr>
          <w:p w14:paraId="21907456" w14:textId="77777777" w:rsidR="00E30DFF" w:rsidRDefault="00FA67E1">
            <w:pPr>
              <w:widowControl w:val="0"/>
              <w:contextualSpacing w:val="0"/>
            </w:pPr>
            <w:r>
              <w:rPr>
                <w:rFonts w:ascii="Arial" w:eastAsia="Arial" w:hAnsi="Arial" w:cs="Arial"/>
                <w:sz w:val="20"/>
                <w:szCs w:val="20"/>
              </w:rPr>
              <w:t>Inventories of products, materials and supplies</w:t>
            </w:r>
          </w:p>
        </w:tc>
        <w:tc>
          <w:tcPr>
            <w:tcW w:w="2655" w:type="dxa"/>
            <w:tcMar>
              <w:left w:w="0" w:type="dxa"/>
              <w:right w:w="0" w:type="dxa"/>
            </w:tcMar>
          </w:tcPr>
          <w:p w14:paraId="3DCBD099" w14:textId="77777777" w:rsidR="00E30DFF" w:rsidRDefault="00FA67E1">
            <w:pPr>
              <w:widowControl w:val="0"/>
              <w:contextualSpacing w:val="0"/>
            </w:pPr>
            <w:r>
              <w:rPr>
                <w:rFonts w:ascii="Arial" w:eastAsia="Arial" w:hAnsi="Arial" w:cs="Arial"/>
                <w:sz w:val="20"/>
                <w:szCs w:val="20"/>
              </w:rPr>
              <w:t>7 years</w:t>
            </w:r>
          </w:p>
        </w:tc>
      </w:tr>
      <w:tr w:rsidR="00E30DFF" w14:paraId="0E3D6EAB" w14:textId="77777777">
        <w:tc>
          <w:tcPr>
            <w:tcW w:w="6457" w:type="dxa"/>
            <w:tcMar>
              <w:left w:w="0" w:type="dxa"/>
              <w:right w:w="0" w:type="dxa"/>
            </w:tcMar>
          </w:tcPr>
          <w:p w14:paraId="733CC76A" w14:textId="77777777" w:rsidR="00E30DFF" w:rsidRDefault="00FA67E1">
            <w:pPr>
              <w:widowControl w:val="0"/>
              <w:contextualSpacing w:val="0"/>
            </w:pPr>
            <w:r>
              <w:rPr>
                <w:rFonts w:ascii="Arial" w:eastAsia="Arial" w:hAnsi="Arial" w:cs="Arial"/>
                <w:sz w:val="20"/>
                <w:szCs w:val="20"/>
              </w:rPr>
              <w:t>Invoices for items purchased or sold</w:t>
            </w:r>
          </w:p>
        </w:tc>
        <w:tc>
          <w:tcPr>
            <w:tcW w:w="2655" w:type="dxa"/>
            <w:tcMar>
              <w:left w:w="0" w:type="dxa"/>
              <w:right w:w="0" w:type="dxa"/>
            </w:tcMar>
          </w:tcPr>
          <w:p w14:paraId="7DBB1C66" w14:textId="77777777" w:rsidR="00E30DFF" w:rsidRDefault="00FA67E1">
            <w:pPr>
              <w:widowControl w:val="0"/>
              <w:contextualSpacing w:val="0"/>
            </w:pPr>
            <w:r>
              <w:rPr>
                <w:rFonts w:ascii="Arial" w:eastAsia="Arial" w:hAnsi="Arial" w:cs="Arial"/>
                <w:sz w:val="20"/>
                <w:szCs w:val="20"/>
              </w:rPr>
              <w:t>7 years</w:t>
            </w:r>
          </w:p>
        </w:tc>
      </w:tr>
      <w:tr w:rsidR="00906BE3" w14:paraId="0BEA6910" w14:textId="77777777">
        <w:tc>
          <w:tcPr>
            <w:tcW w:w="6457" w:type="dxa"/>
            <w:tcMar>
              <w:left w:w="0" w:type="dxa"/>
              <w:right w:w="0" w:type="dxa"/>
            </w:tcMar>
          </w:tcPr>
          <w:p w14:paraId="1A070A1C" w14:textId="3ACD4F5F" w:rsidR="00906BE3" w:rsidRDefault="00906BE3">
            <w:pPr>
              <w:widowControl w:val="0"/>
              <w:contextualSpacing w:val="0"/>
              <w:rPr>
                <w:rFonts w:ascii="Arial" w:eastAsia="Arial" w:hAnsi="Arial" w:cs="Arial"/>
                <w:sz w:val="20"/>
                <w:szCs w:val="20"/>
              </w:rPr>
            </w:pPr>
            <w:r>
              <w:rPr>
                <w:rFonts w:ascii="Arial" w:eastAsia="Arial" w:hAnsi="Arial" w:cs="Arial"/>
                <w:sz w:val="20"/>
                <w:szCs w:val="20"/>
              </w:rPr>
              <w:t>Member data</w:t>
            </w:r>
          </w:p>
        </w:tc>
        <w:tc>
          <w:tcPr>
            <w:tcW w:w="2655" w:type="dxa"/>
            <w:tcMar>
              <w:left w:w="0" w:type="dxa"/>
              <w:right w:w="0" w:type="dxa"/>
            </w:tcMar>
          </w:tcPr>
          <w:p w14:paraId="1B1B9330" w14:textId="716AD111" w:rsidR="00906BE3" w:rsidRDefault="00906BE3">
            <w:pPr>
              <w:widowControl w:val="0"/>
              <w:contextualSpacing w:val="0"/>
              <w:rPr>
                <w:rFonts w:ascii="Arial" w:eastAsia="Arial" w:hAnsi="Arial" w:cs="Arial"/>
                <w:sz w:val="20"/>
                <w:szCs w:val="20"/>
              </w:rPr>
            </w:pPr>
            <w:r>
              <w:rPr>
                <w:rFonts w:ascii="Arial" w:eastAsia="Arial" w:hAnsi="Arial" w:cs="Arial"/>
                <w:sz w:val="20"/>
                <w:szCs w:val="20"/>
              </w:rPr>
              <w:t>Permanently*</w:t>
            </w:r>
          </w:p>
        </w:tc>
      </w:tr>
      <w:tr w:rsidR="00E30DFF" w14:paraId="2A6CEDF0" w14:textId="77777777">
        <w:tc>
          <w:tcPr>
            <w:tcW w:w="6457" w:type="dxa"/>
            <w:tcMar>
              <w:left w:w="0" w:type="dxa"/>
              <w:right w:w="0" w:type="dxa"/>
            </w:tcMar>
          </w:tcPr>
          <w:p w14:paraId="65CB421A" w14:textId="77777777" w:rsidR="00E30DFF" w:rsidRDefault="00FA67E1">
            <w:pPr>
              <w:widowControl w:val="0"/>
              <w:contextualSpacing w:val="0"/>
            </w:pPr>
            <w:r>
              <w:rPr>
                <w:rFonts w:ascii="Arial" w:eastAsia="Arial" w:hAnsi="Arial" w:cs="Arial"/>
                <w:sz w:val="20"/>
                <w:szCs w:val="20"/>
              </w:rPr>
              <w:t>Minute books, bylaws and charter</w:t>
            </w:r>
          </w:p>
        </w:tc>
        <w:tc>
          <w:tcPr>
            <w:tcW w:w="2655" w:type="dxa"/>
            <w:tcMar>
              <w:left w:w="0" w:type="dxa"/>
              <w:right w:w="0" w:type="dxa"/>
            </w:tcMar>
          </w:tcPr>
          <w:p w14:paraId="41B3D130" w14:textId="77777777" w:rsidR="00E30DFF" w:rsidRDefault="00FA67E1">
            <w:pPr>
              <w:widowControl w:val="0"/>
              <w:contextualSpacing w:val="0"/>
            </w:pPr>
            <w:r>
              <w:rPr>
                <w:rFonts w:ascii="Arial" w:eastAsia="Arial" w:hAnsi="Arial" w:cs="Arial"/>
                <w:sz w:val="20"/>
                <w:szCs w:val="20"/>
              </w:rPr>
              <w:t>Permanently</w:t>
            </w:r>
          </w:p>
        </w:tc>
      </w:tr>
      <w:tr w:rsidR="00E30DFF" w14:paraId="11E741BD" w14:textId="77777777">
        <w:tc>
          <w:tcPr>
            <w:tcW w:w="6457" w:type="dxa"/>
            <w:tcMar>
              <w:left w:w="0" w:type="dxa"/>
              <w:right w:w="0" w:type="dxa"/>
            </w:tcMar>
          </w:tcPr>
          <w:p w14:paraId="5CDB78BD" w14:textId="77777777" w:rsidR="00E30DFF" w:rsidRDefault="00FA67E1">
            <w:pPr>
              <w:widowControl w:val="0"/>
              <w:contextualSpacing w:val="0"/>
            </w:pPr>
            <w:r>
              <w:rPr>
                <w:rFonts w:ascii="Arial" w:eastAsia="Arial" w:hAnsi="Arial" w:cs="Arial"/>
                <w:sz w:val="20"/>
                <w:szCs w:val="20"/>
              </w:rPr>
              <w:t>Patents and related papers</w:t>
            </w:r>
          </w:p>
        </w:tc>
        <w:tc>
          <w:tcPr>
            <w:tcW w:w="2655" w:type="dxa"/>
            <w:tcMar>
              <w:left w:w="0" w:type="dxa"/>
              <w:right w:w="0" w:type="dxa"/>
            </w:tcMar>
          </w:tcPr>
          <w:p w14:paraId="6AB3E1B8" w14:textId="77777777" w:rsidR="00E30DFF" w:rsidRDefault="00FA67E1">
            <w:pPr>
              <w:widowControl w:val="0"/>
              <w:contextualSpacing w:val="0"/>
            </w:pPr>
            <w:r>
              <w:rPr>
                <w:rFonts w:ascii="Arial" w:eastAsia="Arial" w:hAnsi="Arial" w:cs="Arial"/>
                <w:sz w:val="20"/>
                <w:szCs w:val="20"/>
              </w:rPr>
              <w:t>Permanently</w:t>
            </w:r>
          </w:p>
        </w:tc>
      </w:tr>
      <w:tr w:rsidR="00E30DFF" w14:paraId="7A2F5541" w14:textId="77777777">
        <w:tc>
          <w:tcPr>
            <w:tcW w:w="6457" w:type="dxa"/>
            <w:tcMar>
              <w:left w:w="0" w:type="dxa"/>
              <w:right w:w="0" w:type="dxa"/>
            </w:tcMar>
          </w:tcPr>
          <w:p w14:paraId="6FD1A6BB" w14:textId="77777777" w:rsidR="00E30DFF" w:rsidRDefault="00FA67E1">
            <w:pPr>
              <w:widowControl w:val="0"/>
              <w:contextualSpacing w:val="0"/>
            </w:pPr>
            <w:r>
              <w:rPr>
                <w:rFonts w:ascii="Arial" w:eastAsia="Arial" w:hAnsi="Arial" w:cs="Arial"/>
                <w:sz w:val="20"/>
                <w:szCs w:val="20"/>
              </w:rPr>
              <w:t>Payroll records and summaries</w:t>
            </w:r>
          </w:p>
        </w:tc>
        <w:tc>
          <w:tcPr>
            <w:tcW w:w="2655" w:type="dxa"/>
            <w:tcMar>
              <w:left w:w="0" w:type="dxa"/>
              <w:right w:w="0" w:type="dxa"/>
            </w:tcMar>
          </w:tcPr>
          <w:p w14:paraId="58F6412E" w14:textId="77777777" w:rsidR="00E30DFF" w:rsidRDefault="00FA67E1">
            <w:pPr>
              <w:widowControl w:val="0"/>
              <w:contextualSpacing w:val="0"/>
            </w:pPr>
            <w:r>
              <w:rPr>
                <w:rFonts w:ascii="Arial" w:eastAsia="Arial" w:hAnsi="Arial" w:cs="Arial"/>
                <w:sz w:val="20"/>
                <w:szCs w:val="20"/>
              </w:rPr>
              <w:t>7 years</w:t>
            </w:r>
          </w:p>
        </w:tc>
      </w:tr>
      <w:tr w:rsidR="00E30DFF" w14:paraId="34D29C10" w14:textId="77777777">
        <w:tc>
          <w:tcPr>
            <w:tcW w:w="6457" w:type="dxa"/>
            <w:tcMar>
              <w:left w:w="0" w:type="dxa"/>
              <w:right w:w="0" w:type="dxa"/>
            </w:tcMar>
          </w:tcPr>
          <w:p w14:paraId="04E68CC3" w14:textId="77777777" w:rsidR="00E30DFF" w:rsidRDefault="00FA67E1">
            <w:pPr>
              <w:widowControl w:val="0"/>
              <w:contextualSpacing w:val="0"/>
            </w:pPr>
            <w:r>
              <w:rPr>
                <w:rFonts w:ascii="Arial" w:eastAsia="Arial" w:hAnsi="Arial" w:cs="Arial"/>
                <w:sz w:val="20"/>
                <w:szCs w:val="20"/>
              </w:rPr>
              <w:t>Personnel files (terminated employees)</w:t>
            </w:r>
          </w:p>
        </w:tc>
        <w:tc>
          <w:tcPr>
            <w:tcW w:w="2655" w:type="dxa"/>
            <w:tcMar>
              <w:left w:w="0" w:type="dxa"/>
              <w:right w:w="0" w:type="dxa"/>
            </w:tcMar>
          </w:tcPr>
          <w:p w14:paraId="1BB2C8EB" w14:textId="77777777" w:rsidR="00E30DFF" w:rsidRDefault="00FA67E1">
            <w:pPr>
              <w:widowControl w:val="0"/>
              <w:contextualSpacing w:val="0"/>
            </w:pPr>
            <w:r>
              <w:rPr>
                <w:rFonts w:ascii="Arial" w:eastAsia="Arial" w:hAnsi="Arial" w:cs="Arial"/>
                <w:sz w:val="20"/>
                <w:szCs w:val="20"/>
              </w:rPr>
              <w:t>7 years</w:t>
            </w:r>
          </w:p>
        </w:tc>
      </w:tr>
      <w:tr w:rsidR="00E30DFF" w14:paraId="2B892AC8" w14:textId="77777777">
        <w:tc>
          <w:tcPr>
            <w:tcW w:w="6457" w:type="dxa"/>
            <w:tcMar>
              <w:left w:w="0" w:type="dxa"/>
              <w:right w:w="0" w:type="dxa"/>
            </w:tcMar>
          </w:tcPr>
          <w:p w14:paraId="0EB9F09A" w14:textId="77777777" w:rsidR="00E30DFF" w:rsidRDefault="00FA67E1">
            <w:pPr>
              <w:widowControl w:val="0"/>
              <w:contextualSpacing w:val="0"/>
            </w:pPr>
            <w:r>
              <w:rPr>
                <w:rFonts w:ascii="Arial" w:eastAsia="Arial" w:hAnsi="Arial" w:cs="Arial"/>
                <w:sz w:val="20"/>
                <w:szCs w:val="20"/>
              </w:rPr>
              <w:t>Retirement and pension records</w:t>
            </w:r>
          </w:p>
        </w:tc>
        <w:tc>
          <w:tcPr>
            <w:tcW w:w="2655" w:type="dxa"/>
            <w:tcMar>
              <w:left w:w="0" w:type="dxa"/>
              <w:right w:w="0" w:type="dxa"/>
            </w:tcMar>
          </w:tcPr>
          <w:p w14:paraId="0E4FEECF" w14:textId="77777777" w:rsidR="00E30DFF" w:rsidRDefault="00FA67E1">
            <w:pPr>
              <w:widowControl w:val="0"/>
              <w:contextualSpacing w:val="0"/>
            </w:pPr>
            <w:r>
              <w:rPr>
                <w:rFonts w:ascii="Arial" w:eastAsia="Arial" w:hAnsi="Arial" w:cs="Arial"/>
                <w:sz w:val="20"/>
                <w:szCs w:val="20"/>
              </w:rPr>
              <w:t>Permanently</w:t>
            </w:r>
          </w:p>
        </w:tc>
      </w:tr>
      <w:tr w:rsidR="00E30DFF" w14:paraId="4569026F" w14:textId="77777777">
        <w:tc>
          <w:tcPr>
            <w:tcW w:w="6457" w:type="dxa"/>
            <w:tcMar>
              <w:left w:w="0" w:type="dxa"/>
              <w:right w:w="0" w:type="dxa"/>
            </w:tcMar>
          </w:tcPr>
          <w:p w14:paraId="483AFB3F" w14:textId="77777777" w:rsidR="00E30DFF" w:rsidRDefault="00FA67E1">
            <w:pPr>
              <w:widowControl w:val="0"/>
              <w:contextualSpacing w:val="0"/>
            </w:pPr>
            <w:r>
              <w:rPr>
                <w:rFonts w:ascii="Arial" w:eastAsia="Arial" w:hAnsi="Arial" w:cs="Arial"/>
                <w:sz w:val="20"/>
                <w:szCs w:val="20"/>
              </w:rPr>
              <w:t>Tax returns and worksheets</w:t>
            </w:r>
          </w:p>
        </w:tc>
        <w:tc>
          <w:tcPr>
            <w:tcW w:w="2655" w:type="dxa"/>
            <w:tcMar>
              <w:left w:w="0" w:type="dxa"/>
              <w:right w:w="0" w:type="dxa"/>
            </w:tcMar>
          </w:tcPr>
          <w:p w14:paraId="19C56965" w14:textId="77777777" w:rsidR="00E30DFF" w:rsidRDefault="00FA67E1">
            <w:pPr>
              <w:widowControl w:val="0"/>
              <w:contextualSpacing w:val="0"/>
            </w:pPr>
            <w:r>
              <w:rPr>
                <w:rFonts w:ascii="Arial" w:eastAsia="Arial" w:hAnsi="Arial" w:cs="Arial"/>
                <w:sz w:val="20"/>
                <w:szCs w:val="20"/>
              </w:rPr>
              <w:t>Permanently</w:t>
            </w:r>
          </w:p>
        </w:tc>
      </w:tr>
      <w:tr w:rsidR="00E30DFF" w14:paraId="7DCF1F1B" w14:textId="77777777">
        <w:tc>
          <w:tcPr>
            <w:tcW w:w="6457" w:type="dxa"/>
            <w:tcMar>
              <w:left w:w="0" w:type="dxa"/>
              <w:right w:w="0" w:type="dxa"/>
            </w:tcMar>
          </w:tcPr>
          <w:p w14:paraId="688F45BF" w14:textId="77777777" w:rsidR="00E30DFF" w:rsidRDefault="00FA67E1">
            <w:pPr>
              <w:widowControl w:val="0"/>
              <w:contextualSpacing w:val="0"/>
            </w:pPr>
            <w:r>
              <w:rPr>
                <w:rFonts w:ascii="Arial" w:eastAsia="Arial" w:hAnsi="Arial" w:cs="Arial"/>
                <w:sz w:val="20"/>
                <w:szCs w:val="20"/>
              </w:rPr>
              <w:t>Timesheets</w:t>
            </w:r>
          </w:p>
        </w:tc>
        <w:tc>
          <w:tcPr>
            <w:tcW w:w="2655" w:type="dxa"/>
            <w:tcMar>
              <w:left w:w="0" w:type="dxa"/>
              <w:right w:w="0" w:type="dxa"/>
            </w:tcMar>
          </w:tcPr>
          <w:p w14:paraId="5B73A007" w14:textId="77777777" w:rsidR="00E30DFF" w:rsidRDefault="00FA67E1">
            <w:pPr>
              <w:widowControl w:val="0"/>
              <w:contextualSpacing w:val="0"/>
            </w:pPr>
            <w:r>
              <w:rPr>
                <w:rFonts w:ascii="Arial" w:eastAsia="Arial" w:hAnsi="Arial" w:cs="Arial"/>
                <w:sz w:val="20"/>
                <w:szCs w:val="20"/>
              </w:rPr>
              <w:t>7 years</w:t>
            </w:r>
          </w:p>
        </w:tc>
      </w:tr>
      <w:tr w:rsidR="00E30DFF" w14:paraId="235A4E6E" w14:textId="77777777">
        <w:tc>
          <w:tcPr>
            <w:tcW w:w="6457" w:type="dxa"/>
            <w:tcMar>
              <w:left w:w="0" w:type="dxa"/>
              <w:right w:w="0" w:type="dxa"/>
            </w:tcMar>
          </w:tcPr>
          <w:p w14:paraId="0DE94499" w14:textId="77777777" w:rsidR="00E30DFF" w:rsidRDefault="00FA67E1">
            <w:pPr>
              <w:widowControl w:val="0"/>
              <w:contextualSpacing w:val="0"/>
            </w:pPr>
            <w:r>
              <w:rPr>
                <w:rFonts w:ascii="Arial" w:eastAsia="Arial" w:hAnsi="Arial" w:cs="Arial"/>
                <w:sz w:val="20"/>
                <w:szCs w:val="20"/>
              </w:rPr>
              <w:t>Trademark registrations and copyrights</w:t>
            </w:r>
          </w:p>
        </w:tc>
        <w:tc>
          <w:tcPr>
            <w:tcW w:w="2655" w:type="dxa"/>
            <w:tcMar>
              <w:left w:w="0" w:type="dxa"/>
              <w:right w:w="0" w:type="dxa"/>
            </w:tcMar>
          </w:tcPr>
          <w:p w14:paraId="48F969BD" w14:textId="77777777" w:rsidR="00E30DFF" w:rsidRDefault="00FA67E1">
            <w:pPr>
              <w:widowControl w:val="0"/>
              <w:contextualSpacing w:val="0"/>
            </w:pPr>
            <w:r>
              <w:rPr>
                <w:rFonts w:ascii="Arial" w:eastAsia="Arial" w:hAnsi="Arial" w:cs="Arial"/>
                <w:sz w:val="20"/>
                <w:szCs w:val="20"/>
              </w:rPr>
              <w:t>Permanently</w:t>
            </w:r>
          </w:p>
        </w:tc>
      </w:tr>
      <w:tr w:rsidR="00E30DFF" w14:paraId="3BE3FACA" w14:textId="77777777">
        <w:tc>
          <w:tcPr>
            <w:tcW w:w="6457" w:type="dxa"/>
            <w:tcMar>
              <w:left w:w="0" w:type="dxa"/>
              <w:right w:w="0" w:type="dxa"/>
            </w:tcMar>
          </w:tcPr>
          <w:p w14:paraId="5A7F9279" w14:textId="77777777" w:rsidR="00E30DFF" w:rsidRDefault="00FA67E1">
            <w:pPr>
              <w:widowControl w:val="0"/>
              <w:contextualSpacing w:val="0"/>
            </w:pPr>
            <w:r>
              <w:rPr>
                <w:rFonts w:ascii="Arial" w:eastAsia="Arial" w:hAnsi="Arial" w:cs="Arial"/>
                <w:sz w:val="20"/>
                <w:szCs w:val="20"/>
              </w:rPr>
              <w:t>Withholding tax statements</w:t>
            </w:r>
          </w:p>
        </w:tc>
        <w:tc>
          <w:tcPr>
            <w:tcW w:w="2655" w:type="dxa"/>
            <w:tcMar>
              <w:left w:w="0" w:type="dxa"/>
              <w:right w:w="0" w:type="dxa"/>
            </w:tcMar>
          </w:tcPr>
          <w:p w14:paraId="6B2314DB" w14:textId="77777777" w:rsidR="00E30DFF" w:rsidRDefault="00FA67E1">
            <w:pPr>
              <w:widowControl w:val="0"/>
              <w:contextualSpacing w:val="0"/>
            </w:pPr>
            <w:r>
              <w:rPr>
                <w:rFonts w:ascii="Arial" w:eastAsia="Arial" w:hAnsi="Arial" w:cs="Arial"/>
                <w:sz w:val="20"/>
                <w:szCs w:val="20"/>
              </w:rPr>
              <w:t>7 years</w:t>
            </w:r>
          </w:p>
        </w:tc>
      </w:tr>
      <w:tr w:rsidR="00FB39D4" w14:paraId="57453385" w14:textId="77777777">
        <w:tc>
          <w:tcPr>
            <w:tcW w:w="6457" w:type="dxa"/>
            <w:tcMar>
              <w:left w:w="0" w:type="dxa"/>
              <w:right w:w="0" w:type="dxa"/>
            </w:tcMar>
          </w:tcPr>
          <w:p w14:paraId="4DCA16D6" w14:textId="6547483A" w:rsidR="00FB39D4" w:rsidRDefault="00FB39D4" w:rsidP="00FB39D4">
            <w:pPr>
              <w:widowControl w:val="0"/>
              <w:contextualSpacing w:val="0"/>
              <w:rPr>
                <w:rFonts w:ascii="Arial" w:eastAsia="Arial" w:hAnsi="Arial" w:cs="Arial"/>
                <w:sz w:val="20"/>
                <w:szCs w:val="20"/>
              </w:rPr>
            </w:pPr>
            <w:r>
              <w:rPr>
                <w:rFonts w:ascii="Arial" w:eastAsia="Arial" w:hAnsi="Arial" w:cs="Arial"/>
                <w:sz w:val="20"/>
                <w:szCs w:val="20"/>
              </w:rPr>
              <w:t>Year-end financial statements</w:t>
            </w:r>
          </w:p>
        </w:tc>
        <w:tc>
          <w:tcPr>
            <w:tcW w:w="2655" w:type="dxa"/>
            <w:tcMar>
              <w:left w:w="0" w:type="dxa"/>
              <w:right w:w="0" w:type="dxa"/>
            </w:tcMar>
          </w:tcPr>
          <w:p w14:paraId="5CDAF711" w14:textId="7AAABC92" w:rsidR="00FB39D4" w:rsidRDefault="00FB39D4" w:rsidP="00FB39D4">
            <w:pPr>
              <w:widowControl w:val="0"/>
              <w:contextualSpacing w:val="0"/>
              <w:rPr>
                <w:rFonts w:ascii="Arial" w:eastAsia="Arial" w:hAnsi="Arial" w:cs="Arial"/>
                <w:sz w:val="20"/>
                <w:szCs w:val="20"/>
              </w:rPr>
            </w:pPr>
            <w:r>
              <w:rPr>
                <w:rFonts w:ascii="Arial" w:eastAsia="Arial" w:hAnsi="Arial" w:cs="Arial"/>
                <w:sz w:val="20"/>
                <w:szCs w:val="20"/>
              </w:rPr>
              <w:t>Permanently</w:t>
            </w:r>
          </w:p>
        </w:tc>
      </w:tr>
    </w:tbl>
    <w:p w14:paraId="0A542E6B" w14:textId="77777777" w:rsidR="00E30DFF" w:rsidRDefault="00E30DFF">
      <w:pPr>
        <w:widowControl w:val="0"/>
        <w:contextualSpacing w:val="0"/>
      </w:pPr>
    </w:p>
    <w:p w14:paraId="29E3660C" w14:textId="22B3B0F8" w:rsidR="00906BE3" w:rsidRDefault="00906BE3" w:rsidP="005065F0">
      <w:pPr>
        <w:widowControl w:val="0"/>
        <w:contextualSpacing w:val="0"/>
        <w:rPr>
          <w:rFonts w:ascii="Arial" w:hAnsi="Arial" w:cs="Arial"/>
          <w:i/>
          <w:sz w:val="20"/>
          <w:szCs w:val="20"/>
        </w:rPr>
      </w:pPr>
      <w:r>
        <w:rPr>
          <w:rFonts w:ascii="Arial" w:hAnsi="Arial" w:cs="Arial"/>
          <w:i/>
          <w:sz w:val="20"/>
          <w:szCs w:val="20"/>
        </w:rPr>
        <w:t xml:space="preserve">*FFC will retain Member data in the FFC platform permanently unless the Member requests deletion of the data. </w:t>
      </w:r>
    </w:p>
    <w:p w14:paraId="13CEB15B" w14:textId="77777777" w:rsidR="00906BE3" w:rsidRDefault="00906BE3" w:rsidP="005065F0">
      <w:pPr>
        <w:widowControl w:val="0"/>
        <w:contextualSpacing w:val="0"/>
        <w:rPr>
          <w:rFonts w:ascii="Arial" w:hAnsi="Arial" w:cs="Arial"/>
          <w:i/>
          <w:sz w:val="20"/>
          <w:szCs w:val="20"/>
        </w:rPr>
      </w:pPr>
    </w:p>
    <w:p w14:paraId="003C232A" w14:textId="77777777" w:rsidR="005065F0" w:rsidRDefault="005065F0" w:rsidP="005065F0">
      <w:pPr>
        <w:widowControl w:val="0"/>
        <w:contextualSpacing w:val="0"/>
      </w:pPr>
      <w:r>
        <w:rPr>
          <w:rFonts w:ascii="Arial" w:hAnsi="Arial" w:cs="Arial"/>
          <w:i/>
          <w:sz w:val="20"/>
          <w:szCs w:val="20"/>
        </w:rPr>
        <w:t>Adopted</w:t>
      </w:r>
      <w:r w:rsidRPr="00056E43">
        <w:rPr>
          <w:rFonts w:ascii="Arial" w:hAnsi="Arial" w:cs="Arial"/>
          <w:i/>
          <w:sz w:val="20"/>
          <w:szCs w:val="20"/>
        </w:rPr>
        <w:t xml:space="preserve"> March 1, 2016</w:t>
      </w:r>
    </w:p>
    <w:p w14:paraId="20127C6D" w14:textId="77777777" w:rsidR="005065F0" w:rsidRDefault="005065F0">
      <w:pPr>
        <w:widowControl w:val="0"/>
        <w:contextualSpacing w:val="0"/>
      </w:pPr>
    </w:p>
    <w:sectPr w:rsidR="005065F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FF"/>
    <w:rsid w:val="002A6B9D"/>
    <w:rsid w:val="003A28B9"/>
    <w:rsid w:val="004442C9"/>
    <w:rsid w:val="00472D6B"/>
    <w:rsid w:val="004A395C"/>
    <w:rsid w:val="005065F0"/>
    <w:rsid w:val="005E5072"/>
    <w:rsid w:val="006D28DF"/>
    <w:rsid w:val="00815BAE"/>
    <w:rsid w:val="008F7219"/>
    <w:rsid w:val="00906BE3"/>
    <w:rsid w:val="00B4447D"/>
    <w:rsid w:val="00E30DFF"/>
    <w:rsid w:val="00FA67E1"/>
    <w:rsid w:val="00FB3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83A9D4"/>
  <w15:docId w15:val="{23285BFE-92D0-4588-9B0F-ACCF0B91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472D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2D6B"/>
    <w:rPr>
      <w:rFonts w:ascii="Lucida Grande" w:hAnsi="Lucida Grande" w:cs="Lucida Grande"/>
      <w:sz w:val="18"/>
      <w:szCs w:val="18"/>
    </w:rPr>
  </w:style>
  <w:style w:type="character" w:styleId="CommentReference">
    <w:name w:val="annotation reference"/>
    <w:basedOn w:val="DefaultParagraphFont"/>
    <w:uiPriority w:val="99"/>
    <w:semiHidden/>
    <w:unhideWhenUsed/>
    <w:rsid w:val="002A6B9D"/>
    <w:rPr>
      <w:sz w:val="16"/>
      <w:szCs w:val="16"/>
    </w:rPr>
  </w:style>
  <w:style w:type="paragraph" w:styleId="CommentText">
    <w:name w:val="annotation text"/>
    <w:basedOn w:val="Normal"/>
    <w:link w:val="CommentTextChar"/>
    <w:uiPriority w:val="99"/>
    <w:semiHidden/>
    <w:unhideWhenUsed/>
    <w:rsid w:val="002A6B9D"/>
    <w:rPr>
      <w:sz w:val="20"/>
      <w:szCs w:val="20"/>
    </w:rPr>
  </w:style>
  <w:style w:type="character" w:customStyle="1" w:styleId="CommentTextChar">
    <w:name w:val="Comment Text Char"/>
    <w:basedOn w:val="DefaultParagraphFont"/>
    <w:link w:val="CommentText"/>
    <w:uiPriority w:val="99"/>
    <w:semiHidden/>
    <w:rsid w:val="002A6B9D"/>
    <w:rPr>
      <w:sz w:val="20"/>
      <w:szCs w:val="20"/>
    </w:rPr>
  </w:style>
  <w:style w:type="paragraph" w:styleId="CommentSubject">
    <w:name w:val="annotation subject"/>
    <w:basedOn w:val="CommentText"/>
    <w:next w:val="CommentText"/>
    <w:link w:val="CommentSubjectChar"/>
    <w:uiPriority w:val="99"/>
    <w:semiHidden/>
    <w:unhideWhenUsed/>
    <w:rsid w:val="002A6B9D"/>
    <w:rPr>
      <w:b/>
      <w:bCs/>
    </w:rPr>
  </w:style>
  <w:style w:type="character" w:customStyle="1" w:styleId="CommentSubjectChar">
    <w:name w:val="Comment Subject Char"/>
    <w:basedOn w:val="CommentTextChar"/>
    <w:link w:val="CommentSubject"/>
    <w:uiPriority w:val="99"/>
    <w:semiHidden/>
    <w:rsid w:val="002A6B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Lemos</dc:creator>
  <cp:lastModifiedBy>Katy</cp:lastModifiedBy>
  <cp:revision>2</cp:revision>
  <dcterms:created xsi:type="dcterms:W3CDTF">2016-10-06T16:59:00Z</dcterms:created>
  <dcterms:modified xsi:type="dcterms:W3CDTF">2016-10-06T16:59:00Z</dcterms:modified>
</cp:coreProperties>
</file>