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CAEC2E5" w14:textId="77777777" w:rsidR="00D4046D" w:rsidRDefault="00D4046D">
      <w:pPr>
        <w:widowControl w:val="0"/>
        <w:contextualSpacing w:val="0"/>
      </w:pPr>
    </w:p>
    <w:p w14:paraId="27777A2C" w14:textId="77777777" w:rsidR="00D4046D" w:rsidRDefault="00D4046D">
      <w:pPr>
        <w:widowControl w:val="0"/>
        <w:contextualSpacing w:val="0"/>
      </w:pPr>
    </w:p>
    <w:p w14:paraId="2D96BF8E" w14:textId="77777777" w:rsidR="00D4046D" w:rsidRDefault="00D4046D">
      <w:pPr>
        <w:widowControl w:val="0"/>
        <w:contextualSpacing w:val="0"/>
        <w:jc w:val="center"/>
      </w:pPr>
    </w:p>
    <w:p w14:paraId="0B3F6EB3" w14:textId="77777777" w:rsidR="0034793A" w:rsidRDefault="0034793A">
      <w:pPr>
        <w:widowControl w:val="0"/>
        <w:contextualSpacing w:val="0"/>
        <w:rPr>
          <w:b/>
          <w:sz w:val="22"/>
          <w:szCs w:val="22"/>
        </w:rPr>
      </w:pPr>
      <w:r>
        <w:rPr>
          <w:noProof/>
        </w:rPr>
        <w:drawing>
          <wp:inline distT="0" distB="0" distL="0" distR="0" wp14:anchorId="488A2493" wp14:editId="76A9E9B3">
            <wp:extent cx="1628775" cy="495300"/>
            <wp:effectExtent l="0" t="0" r="9525" b="0"/>
            <wp:docPr id="2" name="Picture 2" descr="http://www.fairfactories.org/Areas/Xpanel/Content/img/308348c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irfactories.org/Areas/Xpanel/Content/img/308348cb-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8775" cy="495300"/>
                    </a:xfrm>
                    <a:prstGeom prst="rect">
                      <a:avLst/>
                    </a:prstGeom>
                    <a:noFill/>
                    <a:ln>
                      <a:noFill/>
                    </a:ln>
                  </pic:spPr>
                </pic:pic>
              </a:graphicData>
            </a:graphic>
          </wp:inline>
        </w:drawing>
      </w:r>
      <w:r w:rsidR="001454AF">
        <w:rPr>
          <w:b/>
          <w:sz w:val="22"/>
          <w:szCs w:val="22"/>
        </w:rPr>
        <w:t xml:space="preserve">                              </w:t>
      </w:r>
    </w:p>
    <w:p w14:paraId="1B8680C7" w14:textId="77777777" w:rsidR="0034793A" w:rsidRDefault="0034793A">
      <w:pPr>
        <w:widowControl w:val="0"/>
        <w:contextualSpacing w:val="0"/>
        <w:rPr>
          <w:b/>
          <w:sz w:val="22"/>
          <w:szCs w:val="22"/>
        </w:rPr>
      </w:pPr>
    </w:p>
    <w:p w14:paraId="12070B2B" w14:textId="54D485CB" w:rsidR="00690C04" w:rsidRPr="00625458" w:rsidRDefault="001E2E9C" w:rsidP="0034793A">
      <w:pPr>
        <w:widowControl w:val="0"/>
        <w:contextualSpacing w:val="0"/>
        <w:jc w:val="center"/>
        <w:rPr>
          <w:rFonts w:ascii="Arial" w:hAnsi="Arial" w:cs="Arial"/>
          <w:b/>
          <w:sz w:val="28"/>
          <w:szCs w:val="28"/>
        </w:rPr>
      </w:pPr>
      <w:r w:rsidRPr="00625458">
        <w:rPr>
          <w:rFonts w:ascii="Arial" w:hAnsi="Arial" w:cs="Arial"/>
          <w:b/>
          <w:sz w:val="28"/>
          <w:szCs w:val="28"/>
        </w:rPr>
        <w:t xml:space="preserve">Fair Factories </w:t>
      </w:r>
      <w:r w:rsidR="00BA4357" w:rsidRPr="00625458">
        <w:rPr>
          <w:rFonts w:ascii="Arial" w:hAnsi="Arial" w:cs="Arial"/>
          <w:b/>
          <w:sz w:val="28"/>
          <w:szCs w:val="28"/>
        </w:rPr>
        <w:t>C</w:t>
      </w:r>
      <w:r w:rsidRPr="00625458">
        <w:rPr>
          <w:rFonts w:ascii="Arial" w:hAnsi="Arial" w:cs="Arial"/>
          <w:b/>
          <w:sz w:val="28"/>
          <w:szCs w:val="28"/>
        </w:rPr>
        <w:t>learinghouse</w:t>
      </w:r>
    </w:p>
    <w:p w14:paraId="33441EEE" w14:textId="3AE60B1D" w:rsidR="00D4046D" w:rsidRPr="00625458" w:rsidRDefault="001E2E9C" w:rsidP="0034793A">
      <w:pPr>
        <w:widowControl w:val="0"/>
        <w:contextualSpacing w:val="0"/>
        <w:jc w:val="center"/>
        <w:rPr>
          <w:rFonts w:ascii="Arial" w:hAnsi="Arial" w:cs="Arial"/>
          <w:sz w:val="28"/>
          <w:szCs w:val="28"/>
        </w:rPr>
      </w:pPr>
      <w:r w:rsidRPr="00625458">
        <w:rPr>
          <w:rFonts w:ascii="Arial" w:hAnsi="Arial" w:cs="Arial"/>
          <w:b/>
          <w:sz w:val="28"/>
          <w:szCs w:val="28"/>
        </w:rPr>
        <w:t>Compensation</w:t>
      </w:r>
      <w:r w:rsidR="001454AF" w:rsidRPr="00625458">
        <w:rPr>
          <w:rFonts w:ascii="Arial" w:hAnsi="Arial" w:cs="Arial"/>
          <w:b/>
          <w:sz w:val="28"/>
          <w:szCs w:val="28"/>
        </w:rPr>
        <w:t xml:space="preserve"> P</w:t>
      </w:r>
      <w:r w:rsidRPr="00625458">
        <w:rPr>
          <w:rFonts w:ascii="Arial" w:hAnsi="Arial" w:cs="Arial"/>
          <w:b/>
          <w:sz w:val="28"/>
          <w:szCs w:val="28"/>
        </w:rPr>
        <w:t xml:space="preserve">hilosophy </w:t>
      </w:r>
    </w:p>
    <w:p w14:paraId="57634DAD" w14:textId="77777777" w:rsidR="00D4046D" w:rsidRPr="00433E0C" w:rsidRDefault="001454AF">
      <w:pPr>
        <w:widowControl w:val="0"/>
        <w:contextualSpacing w:val="0"/>
        <w:rPr>
          <w:rFonts w:ascii="Arial" w:hAnsi="Arial" w:cs="Arial"/>
          <w:sz w:val="20"/>
          <w:szCs w:val="20"/>
        </w:rPr>
      </w:pPr>
      <w:r w:rsidRPr="00433E0C">
        <w:rPr>
          <w:rFonts w:ascii="Arial" w:hAnsi="Arial" w:cs="Arial"/>
          <w:b/>
          <w:sz w:val="20"/>
          <w:szCs w:val="20"/>
        </w:rPr>
        <w:t xml:space="preserve">                              </w:t>
      </w:r>
    </w:p>
    <w:p w14:paraId="3D8C3537" w14:textId="77777777" w:rsidR="00433E0C" w:rsidRDefault="00433E0C">
      <w:pPr>
        <w:widowControl w:val="0"/>
        <w:contextualSpacing w:val="0"/>
        <w:rPr>
          <w:rFonts w:ascii="Arial" w:hAnsi="Arial" w:cs="Arial"/>
          <w:b/>
          <w:sz w:val="20"/>
          <w:szCs w:val="20"/>
          <w:u w:val="single"/>
        </w:rPr>
      </w:pPr>
    </w:p>
    <w:p w14:paraId="17A7CF0D" w14:textId="77777777" w:rsidR="00D4046D" w:rsidRPr="00625458" w:rsidRDefault="001454AF">
      <w:pPr>
        <w:widowControl w:val="0"/>
        <w:contextualSpacing w:val="0"/>
        <w:rPr>
          <w:rFonts w:ascii="Arial" w:hAnsi="Arial" w:cs="Arial"/>
          <w:sz w:val="20"/>
          <w:szCs w:val="20"/>
        </w:rPr>
      </w:pPr>
      <w:r w:rsidRPr="00625458">
        <w:rPr>
          <w:rFonts w:ascii="Arial" w:hAnsi="Arial" w:cs="Arial"/>
          <w:b/>
          <w:sz w:val="20"/>
          <w:szCs w:val="20"/>
        </w:rPr>
        <w:t>General</w:t>
      </w:r>
    </w:p>
    <w:p w14:paraId="1BBEDA1A" w14:textId="1A07B7DB" w:rsidR="00D4046D" w:rsidRPr="00433E0C" w:rsidRDefault="001454AF">
      <w:pPr>
        <w:widowControl w:val="0"/>
        <w:numPr>
          <w:ilvl w:val="0"/>
          <w:numId w:val="1"/>
        </w:numPr>
        <w:ind w:hanging="432"/>
        <w:rPr>
          <w:rFonts w:ascii="Arial" w:hAnsi="Arial" w:cs="Arial"/>
          <w:sz w:val="20"/>
          <w:szCs w:val="20"/>
        </w:rPr>
      </w:pPr>
      <w:r w:rsidRPr="00433E0C">
        <w:rPr>
          <w:rFonts w:ascii="Arial" w:hAnsi="Arial" w:cs="Arial"/>
          <w:sz w:val="20"/>
          <w:szCs w:val="20"/>
        </w:rPr>
        <w:t xml:space="preserve">The compensation structure </w:t>
      </w:r>
      <w:r w:rsidR="00690C04" w:rsidRPr="00433E0C">
        <w:rPr>
          <w:rFonts w:ascii="Arial" w:hAnsi="Arial" w:cs="Arial"/>
          <w:sz w:val="20"/>
          <w:szCs w:val="20"/>
        </w:rPr>
        <w:t xml:space="preserve">and systems of </w:t>
      </w:r>
      <w:r w:rsidR="00BA4357" w:rsidRPr="00433E0C">
        <w:rPr>
          <w:rFonts w:ascii="Arial" w:hAnsi="Arial" w:cs="Arial"/>
          <w:sz w:val="20"/>
          <w:szCs w:val="20"/>
        </w:rPr>
        <w:t>Fair Factories Clearinghouse</w:t>
      </w:r>
      <w:r w:rsidR="006C5073">
        <w:rPr>
          <w:rFonts w:ascii="Arial" w:hAnsi="Arial" w:cs="Arial"/>
          <w:sz w:val="20"/>
          <w:szCs w:val="20"/>
        </w:rPr>
        <w:t xml:space="preserve"> (</w:t>
      </w:r>
      <w:r w:rsidR="00BA4357" w:rsidRPr="00433E0C">
        <w:rPr>
          <w:rFonts w:ascii="Arial" w:hAnsi="Arial" w:cs="Arial"/>
          <w:sz w:val="20"/>
          <w:szCs w:val="20"/>
        </w:rPr>
        <w:t>FFC</w:t>
      </w:r>
      <w:r w:rsidRPr="00433E0C">
        <w:rPr>
          <w:rFonts w:ascii="Arial" w:hAnsi="Arial" w:cs="Arial"/>
          <w:sz w:val="20"/>
          <w:szCs w:val="20"/>
        </w:rPr>
        <w:t>) will support the organization’s mission, strategy, vision and values.</w:t>
      </w:r>
    </w:p>
    <w:p w14:paraId="03C1C9A7" w14:textId="3E0F4E46" w:rsidR="00D4046D" w:rsidRPr="00433E0C" w:rsidRDefault="001454AF">
      <w:pPr>
        <w:widowControl w:val="0"/>
        <w:numPr>
          <w:ilvl w:val="0"/>
          <w:numId w:val="1"/>
        </w:numPr>
        <w:ind w:hanging="432"/>
        <w:rPr>
          <w:rFonts w:ascii="Arial" w:hAnsi="Arial" w:cs="Arial"/>
          <w:sz w:val="20"/>
          <w:szCs w:val="20"/>
        </w:rPr>
      </w:pPr>
      <w:r w:rsidRPr="00433E0C">
        <w:rPr>
          <w:rFonts w:ascii="Arial" w:hAnsi="Arial" w:cs="Arial"/>
          <w:sz w:val="20"/>
          <w:szCs w:val="20"/>
        </w:rPr>
        <w:t>The compensation structure will be linked to an effective performance management system with individual growth and development as well as professional achievement goals.  The goals will be accompanied by effective benchmarks for measuring success.</w:t>
      </w:r>
      <w:r w:rsidR="00271BEE">
        <w:rPr>
          <w:rFonts w:ascii="Arial" w:hAnsi="Arial" w:cs="Arial"/>
          <w:sz w:val="20"/>
          <w:szCs w:val="20"/>
        </w:rPr>
        <w:t xml:space="preserve"> Each year’s targets wi</w:t>
      </w:r>
      <w:r w:rsidR="00374273">
        <w:rPr>
          <w:rFonts w:ascii="Arial" w:hAnsi="Arial" w:cs="Arial"/>
          <w:sz w:val="20"/>
          <w:szCs w:val="20"/>
        </w:rPr>
        <w:t>ll be set no later the</w:t>
      </w:r>
      <w:bookmarkStart w:id="0" w:name="_GoBack"/>
      <w:bookmarkEnd w:id="0"/>
      <w:r w:rsidR="00271BEE">
        <w:rPr>
          <w:rFonts w:ascii="Arial" w:hAnsi="Arial" w:cs="Arial"/>
          <w:sz w:val="20"/>
          <w:szCs w:val="20"/>
        </w:rPr>
        <w:t>n the end of February.</w:t>
      </w:r>
    </w:p>
    <w:p w14:paraId="3C61B39B" w14:textId="77777777" w:rsidR="00D4046D" w:rsidRPr="00433E0C" w:rsidRDefault="00BA4357">
      <w:pPr>
        <w:widowControl w:val="0"/>
        <w:numPr>
          <w:ilvl w:val="0"/>
          <w:numId w:val="1"/>
        </w:numPr>
        <w:ind w:hanging="432"/>
        <w:rPr>
          <w:rFonts w:ascii="Arial" w:hAnsi="Arial" w:cs="Arial"/>
          <w:sz w:val="20"/>
          <w:szCs w:val="20"/>
        </w:rPr>
      </w:pPr>
      <w:r w:rsidRPr="00433E0C">
        <w:rPr>
          <w:rFonts w:ascii="Arial" w:hAnsi="Arial" w:cs="Arial"/>
          <w:sz w:val="20"/>
          <w:szCs w:val="20"/>
        </w:rPr>
        <w:t>FFC</w:t>
      </w:r>
      <w:r w:rsidR="001454AF" w:rsidRPr="00433E0C">
        <w:rPr>
          <w:rFonts w:ascii="Arial" w:hAnsi="Arial" w:cs="Arial"/>
          <w:sz w:val="20"/>
          <w:szCs w:val="20"/>
        </w:rPr>
        <w:t xml:space="preserve"> will pay for performance; skills and competencies; development and growth; and effective visible commitment to the organization.</w:t>
      </w:r>
    </w:p>
    <w:p w14:paraId="0B341408" w14:textId="77777777" w:rsidR="00D4046D" w:rsidRPr="00433E0C" w:rsidRDefault="001454AF">
      <w:pPr>
        <w:widowControl w:val="0"/>
        <w:numPr>
          <w:ilvl w:val="0"/>
          <w:numId w:val="1"/>
        </w:numPr>
        <w:ind w:hanging="432"/>
        <w:rPr>
          <w:rFonts w:ascii="Arial" w:hAnsi="Arial" w:cs="Arial"/>
          <w:sz w:val="20"/>
          <w:szCs w:val="20"/>
        </w:rPr>
      </w:pPr>
      <w:r w:rsidRPr="00433E0C">
        <w:rPr>
          <w:rFonts w:ascii="Arial" w:hAnsi="Arial" w:cs="Arial"/>
          <w:sz w:val="20"/>
          <w:szCs w:val="20"/>
        </w:rPr>
        <w:t>The compensation system will reward truly outstanding performers and provide appropriate feedback to staff members who need improvement.</w:t>
      </w:r>
    </w:p>
    <w:p w14:paraId="67F13EC3" w14:textId="77777777" w:rsidR="00D4046D" w:rsidRPr="00433E0C" w:rsidRDefault="001454AF">
      <w:pPr>
        <w:widowControl w:val="0"/>
        <w:numPr>
          <w:ilvl w:val="0"/>
          <w:numId w:val="1"/>
        </w:numPr>
        <w:ind w:hanging="432"/>
        <w:rPr>
          <w:rFonts w:ascii="Arial" w:hAnsi="Arial" w:cs="Arial"/>
          <w:sz w:val="20"/>
          <w:szCs w:val="20"/>
        </w:rPr>
      </w:pPr>
      <w:r w:rsidRPr="00433E0C">
        <w:rPr>
          <w:rFonts w:ascii="Arial" w:hAnsi="Arial" w:cs="Arial"/>
          <w:sz w:val="20"/>
          <w:szCs w:val="20"/>
        </w:rPr>
        <w:t>The compensation system will include annual adjustments to pay ranges based on changes in the marketplace (subject to financial constraints).  Adjustments to individual base pay will be based on job performance and growth in mastering job competencies.</w:t>
      </w:r>
    </w:p>
    <w:p w14:paraId="2D01A019" w14:textId="77777777" w:rsidR="00D4046D" w:rsidRPr="00433E0C" w:rsidRDefault="001454AF">
      <w:pPr>
        <w:widowControl w:val="0"/>
        <w:numPr>
          <w:ilvl w:val="0"/>
          <w:numId w:val="1"/>
        </w:numPr>
        <w:ind w:hanging="432"/>
        <w:rPr>
          <w:rFonts w:ascii="Arial" w:hAnsi="Arial" w:cs="Arial"/>
          <w:sz w:val="20"/>
          <w:szCs w:val="20"/>
        </w:rPr>
      </w:pPr>
      <w:r w:rsidRPr="00433E0C">
        <w:rPr>
          <w:rFonts w:ascii="Arial" w:hAnsi="Arial" w:cs="Arial"/>
          <w:sz w:val="20"/>
          <w:szCs w:val="20"/>
        </w:rPr>
        <w:t>The compensation system will have a coherent structure based on pay practices consistent with our nonprofit mission and status, as well as industry standards.</w:t>
      </w:r>
    </w:p>
    <w:p w14:paraId="3267B015" w14:textId="77777777" w:rsidR="00D4046D" w:rsidRPr="00433E0C" w:rsidRDefault="001454AF">
      <w:pPr>
        <w:widowControl w:val="0"/>
        <w:numPr>
          <w:ilvl w:val="0"/>
          <w:numId w:val="1"/>
        </w:numPr>
        <w:ind w:hanging="432"/>
        <w:rPr>
          <w:rFonts w:ascii="Arial" w:hAnsi="Arial" w:cs="Arial"/>
          <w:sz w:val="20"/>
          <w:szCs w:val="20"/>
        </w:rPr>
      </w:pPr>
      <w:r w:rsidRPr="00433E0C">
        <w:rPr>
          <w:rFonts w:ascii="Arial" w:hAnsi="Arial" w:cs="Arial"/>
          <w:sz w:val="20"/>
          <w:szCs w:val="20"/>
        </w:rPr>
        <w:t>The marketplace adequacy of the structure will be judged in terms of total compensation, including benefits; the total package will be competitive with the marketplace.</w:t>
      </w:r>
    </w:p>
    <w:p w14:paraId="4EDAD6AB" w14:textId="77777777" w:rsidR="00D4046D" w:rsidRPr="00433E0C" w:rsidRDefault="00D4046D">
      <w:pPr>
        <w:widowControl w:val="0"/>
        <w:contextualSpacing w:val="0"/>
        <w:rPr>
          <w:rFonts w:ascii="Arial" w:hAnsi="Arial" w:cs="Arial"/>
          <w:sz w:val="20"/>
          <w:szCs w:val="20"/>
        </w:rPr>
      </w:pPr>
    </w:p>
    <w:p w14:paraId="3C6A2B13" w14:textId="5DB79BC0" w:rsidR="00D4046D" w:rsidRPr="00625458" w:rsidRDefault="00CF1401">
      <w:pPr>
        <w:widowControl w:val="0"/>
        <w:contextualSpacing w:val="0"/>
        <w:rPr>
          <w:rFonts w:ascii="Arial" w:hAnsi="Arial" w:cs="Arial"/>
          <w:sz w:val="20"/>
          <w:szCs w:val="20"/>
        </w:rPr>
      </w:pPr>
      <w:r w:rsidRPr="00625458">
        <w:rPr>
          <w:rFonts w:ascii="Arial" w:hAnsi="Arial" w:cs="Arial"/>
          <w:b/>
          <w:sz w:val="20"/>
          <w:szCs w:val="20"/>
        </w:rPr>
        <w:t xml:space="preserve">Executive Director </w:t>
      </w:r>
      <w:r w:rsidR="001454AF" w:rsidRPr="00625458">
        <w:rPr>
          <w:rFonts w:ascii="Arial" w:hAnsi="Arial" w:cs="Arial"/>
          <w:b/>
          <w:sz w:val="20"/>
          <w:szCs w:val="20"/>
        </w:rPr>
        <w:t>Specific</w:t>
      </w:r>
    </w:p>
    <w:p w14:paraId="50034048" w14:textId="58D8D622" w:rsidR="00D4046D" w:rsidRPr="00433E0C" w:rsidRDefault="001454AF">
      <w:pPr>
        <w:widowControl w:val="0"/>
        <w:numPr>
          <w:ilvl w:val="0"/>
          <w:numId w:val="2"/>
        </w:numPr>
        <w:ind w:hanging="432"/>
        <w:rPr>
          <w:rFonts w:ascii="Arial" w:hAnsi="Arial" w:cs="Arial"/>
          <w:sz w:val="20"/>
          <w:szCs w:val="20"/>
        </w:rPr>
      </w:pPr>
      <w:r w:rsidRPr="00433E0C">
        <w:rPr>
          <w:rFonts w:ascii="Arial" w:hAnsi="Arial" w:cs="Arial"/>
          <w:sz w:val="20"/>
          <w:szCs w:val="20"/>
        </w:rPr>
        <w:t xml:space="preserve">The Board will review </w:t>
      </w:r>
      <w:r w:rsidR="00CF1401" w:rsidRPr="00433E0C">
        <w:rPr>
          <w:rFonts w:ascii="Arial" w:hAnsi="Arial" w:cs="Arial"/>
          <w:sz w:val="20"/>
          <w:szCs w:val="20"/>
        </w:rPr>
        <w:t>the Executive Director (</w:t>
      </w:r>
      <w:r w:rsidR="002406EF" w:rsidRPr="00433E0C">
        <w:rPr>
          <w:rFonts w:ascii="Arial" w:hAnsi="Arial" w:cs="Arial"/>
          <w:sz w:val="20"/>
          <w:szCs w:val="20"/>
        </w:rPr>
        <w:t>ED</w:t>
      </w:r>
      <w:r w:rsidR="00CF1401" w:rsidRPr="00433E0C">
        <w:rPr>
          <w:rFonts w:ascii="Arial" w:hAnsi="Arial" w:cs="Arial"/>
          <w:sz w:val="20"/>
          <w:szCs w:val="20"/>
        </w:rPr>
        <w:t>)</w:t>
      </w:r>
      <w:r w:rsidRPr="00433E0C">
        <w:rPr>
          <w:rFonts w:ascii="Arial" w:hAnsi="Arial" w:cs="Arial"/>
          <w:sz w:val="20"/>
          <w:szCs w:val="20"/>
        </w:rPr>
        <w:t xml:space="preserve"> performance on an annual basis.  Performance objectives for the coming year will be determined jointly by the </w:t>
      </w:r>
      <w:r w:rsidR="002406EF" w:rsidRPr="00433E0C">
        <w:rPr>
          <w:rFonts w:ascii="Arial" w:hAnsi="Arial" w:cs="Arial"/>
          <w:sz w:val="20"/>
          <w:szCs w:val="20"/>
        </w:rPr>
        <w:t>ED</w:t>
      </w:r>
      <w:r w:rsidRPr="00433E0C">
        <w:rPr>
          <w:rFonts w:ascii="Arial" w:hAnsi="Arial" w:cs="Arial"/>
          <w:sz w:val="20"/>
          <w:szCs w:val="20"/>
        </w:rPr>
        <w:t xml:space="preserve"> and the Board (in </w:t>
      </w:r>
      <w:r w:rsidR="002406EF" w:rsidRPr="00433E0C">
        <w:rPr>
          <w:rFonts w:ascii="Arial" w:hAnsi="Arial" w:cs="Arial"/>
          <w:sz w:val="20"/>
          <w:szCs w:val="20"/>
        </w:rPr>
        <w:t>December</w:t>
      </w:r>
      <w:r w:rsidRPr="00433E0C">
        <w:rPr>
          <w:rFonts w:ascii="Arial" w:hAnsi="Arial" w:cs="Arial"/>
          <w:sz w:val="20"/>
          <w:szCs w:val="20"/>
        </w:rPr>
        <w:t xml:space="preserve"> of each year), with the explicit understanding that salary adjustments and any incentive opportunities will be based on performance against these objectives.  The Board will clearly outline and communicate how performance will be linked to salary adjustments and any incentive opportunities.</w:t>
      </w:r>
    </w:p>
    <w:p w14:paraId="27C5F5D4" w14:textId="77777777" w:rsidR="00D4046D" w:rsidRPr="00433E0C" w:rsidRDefault="001454AF">
      <w:pPr>
        <w:widowControl w:val="0"/>
        <w:numPr>
          <w:ilvl w:val="0"/>
          <w:numId w:val="2"/>
        </w:numPr>
        <w:ind w:hanging="432"/>
        <w:rPr>
          <w:rFonts w:ascii="Arial" w:hAnsi="Arial" w:cs="Arial"/>
          <w:sz w:val="20"/>
          <w:szCs w:val="20"/>
        </w:rPr>
      </w:pPr>
      <w:r w:rsidRPr="00433E0C">
        <w:rPr>
          <w:rFonts w:ascii="Arial" w:hAnsi="Arial" w:cs="Arial"/>
          <w:sz w:val="20"/>
          <w:szCs w:val="20"/>
        </w:rPr>
        <w:t xml:space="preserve">The </w:t>
      </w:r>
      <w:r w:rsidR="002406EF" w:rsidRPr="00433E0C">
        <w:rPr>
          <w:rFonts w:ascii="Arial" w:hAnsi="Arial" w:cs="Arial"/>
          <w:sz w:val="20"/>
          <w:szCs w:val="20"/>
        </w:rPr>
        <w:t>ED</w:t>
      </w:r>
      <w:r w:rsidRPr="00433E0C">
        <w:rPr>
          <w:rFonts w:ascii="Arial" w:hAnsi="Arial" w:cs="Arial"/>
          <w:sz w:val="20"/>
          <w:szCs w:val="20"/>
        </w:rPr>
        <w:t xml:space="preserve"> will annually prepare and submit to the Board a self-assessment of performance as input to the performance review.  The </w:t>
      </w:r>
      <w:r w:rsidR="002406EF" w:rsidRPr="00433E0C">
        <w:rPr>
          <w:rFonts w:ascii="Arial" w:hAnsi="Arial" w:cs="Arial"/>
          <w:sz w:val="20"/>
          <w:szCs w:val="20"/>
        </w:rPr>
        <w:t>ED</w:t>
      </w:r>
      <w:r w:rsidRPr="00433E0C">
        <w:rPr>
          <w:rFonts w:ascii="Arial" w:hAnsi="Arial" w:cs="Arial"/>
          <w:sz w:val="20"/>
          <w:szCs w:val="20"/>
        </w:rPr>
        <w:t xml:space="preserve"> is required to submit the self-assessment </w:t>
      </w:r>
      <w:r w:rsidR="002406EF" w:rsidRPr="00433E0C">
        <w:rPr>
          <w:rFonts w:ascii="Arial" w:hAnsi="Arial" w:cs="Arial"/>
          <w:sz w:val="20"/>
          <w:szCs w:val="20"/>
        </w:rPr>
        <w:t xml:space="preserve">before the end of the fiscal year. </w:t>
      </w:r>
    </w:p>
    <w:p w14:paraId="7074A087" w14:textId="119BCD0B" w:rsidR="00D4046D" w:rsidRPr="00433E0C" w:rsidRDefault="001454AF">
      <w:pPr>
        <w:widowControl w:val="0"/>
        <w:numPr>
          <w:ilvl w:val="0"/>
          <w:numId w:val="1"/>
        </w:numPr>
        <w:ind w:hanging="432"/>
        <w:rPr>
          <w:rFonts w:ascii="Arial" w:hAnsi="Arial" w:cs="Arial"/>
          <w:sz w:val="20"/>
          <w:szCs w:val="20"/>
        </w:rPr>
      </w:pPr>
      <w:r w:rsidRPr="00433E0C">
        <w:rPr>
          <w:rFonts w:ascii="Arial" w:hAnsi="Arial" w:cs="Arial"/>
          <w:sz w:val="20"/>
          <w:szCs w:val="20"/>
        </w:rPr>
        <w:t xml:space="preserve">Compensation for the </w:t>
      </w:r>
      <w:r w:rsidR="002406EF" w:rsidRPr="00433E0C">
        <w:rPr>
          <w:rFonts w:ascii="Arial" w:hAnsi="Arial" w:cs="Arial"/>
          <w:sz w:val="20"/>
          <w:szCs w:val="20"/>
        </w:rPr>
        <w:t>ED</w:t>
      </w:r>
      <w:r w:rsidRPr="00433E0C">
        <w:rPr>
          <w:rFonts w:ascii="Arial" w:hAnsi="Arial" w:cs="Arial"/>
          <w:sz w:val="20"/>
          <w:szCs w:val="20"/>
        </w:rPr>
        <w:t xml:space="preserve"> will be set by the </w:t>
      </w:r>
      <w:r w:rsidR="002406EF" w:rsidRPr="00433E0C">
        <w:rPr>
          <w:rFonts w:ascii="Arial" w:hAnsi="Arial" w:cs="Arial"/>
          <w:sz w:val="20"/>
          <w:szCs w:val="20"/>
        </w:rPr>
        <w:t xml:space="preserve">Executive </w:t>
      </w:r>
      <w:r w:rsidRPr="00433E0C">
        <w:rPr>
          <w:rFonts w:ascii="Arial" w:hAnsi="Arial" w:cs="Arial"/>
          <w:sz w:val="20"/>
          <w:szCs w:val="20"/>
        </w:rPr>
        <w:t>Committee of the Board with review by the full Board, and will comply with all applicable legal standards.</w:t>
      </w:r>
    </w:p>
    <w:p w14:paraId="453F4511" w14:textId="77777777" w:rsidR="00D4046D" w:rsidRPr="00433E0C" w:rsidRDefault="00D4046D">
      <w:pPr>
        <w:widowControl w:val="0"/>
        <w:contextualSpacing w:val="0"/>
        <w:rPr>
          <w:rFonts w:ascii="Arial" w:hAnsi="Arial" w:cs="Arial"/>
          <w:sz w:val="20"/>
          <w:szCs w:val="20"/>
        </w:rPr>
      </w:pPr>
    </w:p>
    <w:p w14:paraId="46E245DD" w14:textId="77777777" w:rsidR="00433E0C" w:rsidRDefault="00433E0C" w:rsidP="00433E0C">
      <w:pPr>
        <w:widowControl w:val="0"/>
        <w:contextualSpacing w:val="0"/>
      </w:pPr>
      <w:r>
        <w:rPr>
          <w:rFonts w:ascii="Arial" w:hAnsi="Arial" w:cs="Arial"/>
          <w:i/>
          <w:sz w:val="20"/>
          <w:szCs w:val="20"/>
        </w:rPr>
        <w:t>Adopted</w:t>
      </w:r>
      <w:r w:rsidRPr="00056E43">
        <w:rPr>
          <w:rFonts w:ascii="Arial" w:hAnsi="Arial" w:cs="Arial"/>
          <w:i/>
          <w:sz w:val="20"/>
          <w:szCs w:val="20"/>
        </w:rPr>
        <w:t xml:space="preserve"> March 1, 2016</w:t>
      </w:r>
    </w:p>
    <w:p w14:paraId="274977EA" w14:textId="77777777" w:rsidR="00D4046D" w:rsidRPr="00433E0C" w:rsidRDefault="00D4046D">
      <w:pPr>
        <w:widowControl w:val="0"/>
        <w:contextualSpacing w:val="0"/>
        <w:rPr>
          <w:rFonts w:ascii="Arial" w:hAnsi="Arial" w:cs="Arial"/>
          <w:sz w:val="20"/>
          <w:szCs w:val="20"/>
        </w:rPr>
      </w:pPr>
    </w:p>
    <w:sectPr w:rsidR="00D4046D" w:rsidRPr="00433E0C">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4F8C3" w14:textId="77777777" w:rsidR="00B277B4" w:rsidRDefault="00B277B4">
      <w:r>
        <w:separator/>
      </w:r>
    </w:p>
  </w:endnote>
  <w:endnote w:type="continuationSeparator" w:id="0">
    <w:p w14:paraId="42FACEC6" w14:textId="77777777" w:rsidR="00B277B4" w:rsidRDefault="00B27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169E9" w14:textId="77777777" w:rsidR="00CC6E97" w:rsidRDefault="00CC6E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A3D77" w14:textId="5187306C" w:rsidR="00D4046D" w:rsidRPr="00CC6E97" w:rsidRDefault="00D4046D" w:rsidP="00CC6E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011CA" w14:textId="77777777" w:rsidR="00CC6E97" w:rsidRDefault="00CC6E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479CA" w14:textId="77777777" w:rsidR="00B277B4" w:rsidRDefault="00B277B4">
      <w:r>
        <w:separator/>
      </w:r>
    </w:p>
  </w:footnote>
  <w:footnote w:type="continuationSeparator" w:id="0">
    <w:p w14:paraId="328433B5" w14:textId="77777777" w:rsidR="00B277B4" w:rsidRDefault="00B27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4A24F" w14:textId="77777777" w:rsidR="00CC6E97" w:rsidRDefault="00CC6E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BA1D5" w14:textId="77777777" w:rsidR="00D4046D" w:rsidRDefault="00D4046D">
    <w:pPr>
      <w:widowControl w:val="0"/>
      <w:tabs>
        <w:tab w:val="center" w:pos="4320"/>
        <w:tab w:val="right" w:pos="8640"/>
      </w:tabs>
      <w:contextualSpacing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E2ED7" w14:textId="77777777" w:rsidR="00CC6E97" w:rsidRDefault="00CC6E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65FE1"/>
    <w:multiLevelType w:val="multilevel"/>
    <w:tmpl w:val="13C25A72"/>
    <w:lvl w:ilvl="0">
      <w:start w:val="1"/>
      <w:numFmt w:val="bullet"/>
      <w:lvlText w:val="●"/>
      <w:lvlJc w:val="left"/>
      <w:pPr>
        <w:ind w:left="432" w:firstLine="0"/>
      </w:pPr>
      <w:rPr>
        <w:rFonts w:ascii="Arial" w:eastAsia="Arial" w:hAnsi="Arial" w:cs="Arial"/>
        <w:sz w:val="18"/>
        <w:szCs w:val="18"/>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11F9389D"/>
    <w:multiLevelType w:val="multilevel"/>
    <w:tmpl w:val="2D82434A"/>
    <w:lvl w:ilvl="0">
      <w:start w:val="1"/>
      <w:numFmt w:val="bullet"/>
      <w:lvlText w:val="●"/>
      <w:lvlJc w:val="left"/>
      <w:pPr>
        <w:ind w:left="432" w:firstLine="0"/>
      </w:pPr>
      <w:rPr>
        <w:rFonts w:ascii="Arial" w:eastAsia="Arial" w:hAnsi="Arial" w:cs="Arial"/>
        <w:sz w:val="18"/>
        <w:szCs w:val="18"/>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46D"/>
    <w:rsid w:val="00014EC3"/>
    <w:rsid w:val="0002106E"/>
    <w:rsid w:val="00043886"/>
    <w:rsid w:val="0006578C"/>
    <w:rsid w:val="000C2E2E"/>
    <w:rsid w:val="001454AF"/>
    <w:rsid w:val="001E2E9C"/>
    <w:rsid w:val="002173EC"/>
    <w:rsid w:val="00223681"/>
    <w:rsid w:val="002406EF"/>
    <w:rsid w:val="00271BEE"/>
    <w:rsid w:val="00293AFE"/>
    <w:rsid w:val="0034793A"/>
    <w:rsid w:val="00374273"/>
    <w:rsid w:val="00433E0C"/>
    <w:rsid w:val="004375EC"/>
    <w:rsid w:val="004C7DF4"/>
    <w:rsid w:val="00511F56"/>
    <w:rsid w:val="00564BBC"/>
    <w:rsid w:val="00625458"/>
    <w:rsid w:val="00667B2A"/>
    <w:rsid w:val="00690C04"/>
    <w:rsid w:val="006C5073"/>
    <w:rsid w:val="006E1B38"/>
    <w:rsid w:val="00747064"/>
    <w:rsid w:val="00B277B4"/>
    <w:rsid w:val="00B84CFB"/>
    <w:rsid w:val="00BA4357"/>
    <w:rsid w:val="00CC6E97"/>
    <w:rsid w:val="00CF1401"/>
    <w:rsid w:val="00D4046D"/>
    <w:rsid w:val="00D82B27"/>
    <w:rsid w:val="00EA1FDA"/>
    <w:rsid w:val="00FC4A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FCEFA7"/>
  <w15:docId w15:val="{AD643E51-580B-46BB-95FF-A43FB9BB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84C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4CFB"/>
    <w:rPr>
      <w:rFonts w:ascii="Lucida Grande" w:hAnsi="Lucida Grande" w:cs="Lucida Grande"/>
      <w:sz w:val="18"/>
      <w:szCs w:val="18"/>
    </w:rPr>
  </w:style>
  <w:style w:type="paragraph" w:styleId="FootnoteText">
    <w:name w:val="footnote text"/>
    <w:basedOn w:val="Normal"/>
    <w:link w:val="FootnoteTextChar"/>
    <w:uiPriority w:val="99"/>
    <w:unhideWhenUsed/>
    <w:rsid w:val="002406EF"/>
  </w:style>
  <w:style w:type="character" w:customStyle="1" w:styleId="FootnoteTextChar">
    <w:name w:val="Footnote Text Char"/>
    <w:basedOn w:val="DefaultParagraphFont"/>
    <w:link w:val="FootnoteText"/>
    <w:uiPriority w:val="99"/>
    <w:rsid w:val="002406EF"/>
  </w:style>
  <w:style w:type="character" w:styleId="FootnoteReference">
    <w:name w:val="footnote reference"/>
    <w:basedOn w:val="DefaultParagraphFont"/>
    <w:uiPriority w:val="99"/>
    <w:unhideWhenUsed/>
    <w:rsid w:val="002406EF"/>
    <w:rPr>
      <w:vertAlign w:val="superscript"/>
    </w:rPr>
  </w:style>
  <w:style w:type="paragraph" w:styleId="Revision">
    <w:name w:val="Revision"/>
    <w:hidden/>
    <w:uiPriority w:val="99"/>
    <w:semiHidden/>
    <w:rsid w:val="002406EF"/>
    <w:pPr>
      <w:contextualSpacing w:val="0"/>
    </w:pPr>
  </w:style>
  <w:style w:type="paragraph" w:styleId="Header">
    <w:name w:val="header"/>
    <w:basedOn w:val="Normal"/>
    <w:link w:val="HeaderChar"/>
    <w:uiPriority w:val="99"/>
    <w:unhideWhenUsed/>
    <w:rsid w:val="004C7DF4"/>
    <w:pPr>
      <w:tabs>
        <w:tab w:val="center" w:pos="4320"/>
        <w:tab w:val="right" w:pos="8640"/>
      </w:tabs>
    </w:pPr>
  </w:style>
  <w:style w:type="character" w:customStyle="1" w:styleId="HeaderChar">
    <w:name w:val="Header Char"/>
    <w:basedOn w:val="DefaultParagraphFont"/>
    <w:link w:val="Header"/>
    <w:uiPriority w:val="99"/>
    <w:rsid w:val="004C7DF4"/>
  </w:style>
  <w:style w:type="paragraph" w:styleId="Footer">
    <w:name w:val="footer"/>
    <w:basedOn w:val="Normal"/>
    <w:link w:val="FooterChar"/>
    <w:uiPriority w:val="99"/>
    <w:unhideWhenUsed/>
    <w:rsid w:val="004C7DF4"/>
    <w:pPr>
      <w:tabs>
        <w:tab w:val="center" w:pos="4320"/>
        <w:tab w:val="right" w:pos="8640"/>
      </w:tabs>
    </w:pPr>
  </w:style>
  <w:style w:type="character" w:customStyle="1" w:styleId="FooterChar">
    <w:name w:val="Footer Char"/>
    <w:basedOn w:val="DefaultParagraphFont"/>
    <w:link w:val="Footer"/>
    <w:uiPriority w:val="99"/>
    <w:rsid w:val="004C7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32F58-32FE-48D6-A52E-D4A17DEB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Lemos</dc:creator>
  <cp:lastModifiedBy>Katy</cp:lastModifiedBy>
  <cp:revision>2</cp:revision>
  <dcterms:created xsi:type="dcterms:W3CDTF">2016-10-06T17:47:00Z</dcterms:created>
  <dcterms:modified xsi:type="dcterms:W3CDTF">2016-10-06T17:47:00Z</dcterms:modified>
</cp:coreProperties>
</file>